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09A51" w14:textId="77777777" w:rsidR="000F7C82" w:rsidRPr="000F7C82" w:rsidRDefault="000F7C82" w:rsidP="000F7C82">
      <w:pPr>
        <w:jc w:val="center"/>
        <w:rPr>
          <w:rFonts w:ascii="Arial" w:hAnsi="Arial" w:cs="Arial"/>
          <w:b/>
          <w:sz w:val="44"/>
          <w:szCs w:val="44"/>
        </w:rPr>
      </w:pPr>
    </w:p>
    <w:p w14:paraId="18BD16C1" w14:textId="77777777" w:rsidR="000F7C82" w:rsidRPr="000F7C82" w:rsidRDefault="000F7C82" w:rsidP="000F7C82">
      <w:pPr>
        <w:jc w:val="center"/>
        <w:rPr>
          <w:rFonts w:ascii="Arial" w:hAnsi="Arial" w:cs="Arial"/>
          <w:b/>
          <w:sz w:val="44"/>
          <w:szCs w:val="44"/>
        </w:rPr>
      </w:pPr>
    </w:p>
    <w:p w14:paraId="291EB15F" w14:textId="77777777" w:rsidR="000F7C82" w:rsidRPr="00AD33BF" w:rsidRDefault="000F7C82" w:rsidP="000F7C82">
      <w:pPr>
        <w:spacing w:after="120"/>
        <w:jc w:val="center"/>
        <w:rPr>
          <w:rFonts w:ascii="Times New Roman" w:hAnsi="Times New Roman" w:cs="Times New Roman"/>
          <w:b/>
          <w:color w:val="1F497D" w:themeColor="text2"/>
          <w:sz w:val="56"/>
          <w:szCs w:val="56"/>
        </w:rPr>
      </w:pPr>
      <w:r w:rsidRPr="00AD33BF">
        <w:rPr>
          <w:rFonts w:ascii="Times New Roman" w:hAnsi="Times New Roman" w:cs="Times New Roman"/>
          <w:b/>
          <w:color w:val="1F497D" w:themeColor="text2"/>
          <w:sz w:val="56"/>
          <w:szCs w:val="56"/>
        </w:rPr>
        <w:t>Ver</w:t>
      </w:r>
      <w:r w:rsidR="00AD33BF" w:rsidRPr="00AD33BF">
        <w:rPr>
          <w:rFonts w:ascii="Times New Roman" w:hAnsi="Times New Roman" w:cs="Times New Roman"/>
          <w:b/>
          <w:color w:val="1F497D" w:themeColor="text2"/>
          <w:sz w:val="56"/>
          <w:szCs w:val="56"/>
        </w:rPr>
        <w:t>mont Partnerships for Success</w:t>
      </w:r>
    </w:p>
    <w:p w14:paraId="19875963" w14:textId="77777777" w:rsidR="000F7C82" w:rsidRPr="00AD33BF" w:rsidRDefault="000F7C82" w:rsidP="000F7C82">
      <w:pPr>
        <w:jc w:val="center"/>
        <w:rPr>
          <w:rFonts w:ascii="Times New Roman" w:hAnsi="Times New Roman" w:cs="Times New Roman"/>
          <w:b/>
          <w:color w:val="1F497D" w:themeColor="text2"/>
          <w:sz w:val="40"/>
          <w:szCs w:val="40"/>
        </w:rPr>
      </w:pPr>
      <w:r w:rsidRPr="00AD33BF">
        <w:rPr>
          <w:rFonts w:ascii="Times New Roman" w:hAnsi="Times New Roman" w:cs="Times New Roman"/>
          <w:b/>
          <w:color w:val="1F497D" w:themeColor="text2"/>
          <w:sz w:val="40"/>
          <w:szCs w:val="40"/>
        </w:rPr>
        <w:t>State Fiscal Years 2013-2016</w:t>
      </w:r>
    </w:p>
    <w:p w14:paraId="787CF690" w14:textId="77777777" w:rsidR="000F7C82" w:rsidRPr="00AD33BF" w:rsidRDefault="000F7C82" w:rsidP="000F7C82">
      <w:pPr>
        <w:jc w:val="center"/>
        <w:rPr>
          <w:rFonts w:ascii="Times New Roman" w:hAnsi="Times New Roman" w:cs="Times New Roman"/>
          <w:b/>
          <w:color w:val="1F497D" w:themeColor="text2"/>
          <w:sz w:val="40"/>
          <w:szCs w:val="40"/>
        </w:rPr>
      </w:pPr>
    </w:p>
    <w:p w14:paraId="6D0BFD14" w14:textId="77777777" w:rsidR="000F7C82" w:rsidRPr="00AD33BF" w:rsidRDefault="000F7C82" w:rsidP="000F7C82">
      <w:pPr>
        <w:jc w:val="center"/>
        <w:rPr>
          <w:rFonts w:ascii="Times New Roman" w:hAnsi="Times New Roman" w:cs="Times New Roman"/>
          <w:color w:val="1F497D" w:themeColor="text2"/>
          <w:sz w:val="40"/>
          <w:szCs w:val="40"/>
        </w:rPr>
      </w:pPr>
    </w:p>
    <w:p w14:paraId="7FF8D163" w14:textId="77777777" w:rsidR="000F7C82" w:rsidRPr="00AD33BF" w:rsidRDefault="000F7C82" w:rsidP="000F7C82">
      <w:pPr>
        <w:jc w:val="center"/>
        <w:rPr>
          <w:rFonts w:ascii="Times New Roman" w:hAnsi="Times New Roman" w:cs="Times New Roman"/>
          <w:color w:val="1F497D" w:themeColor="text2"/>
          <w:sz w:val="40"/>
          <w:szCs w:val="40"/>
        </w:rPr>
      </w:pPr>
      <w:r w:rsidRPr="00AD33BF">
        <w:rPr>
          <w:rFonts w:ascii="Times New Roman" w:hAnsi="Times New Roman" w:cs="Times New Roman"/>
          <w:color w:val="1F497D" w:themeColor="text2"/>
          <w:sz w:val="40"/>
          <w:szCs w:val="40"/>
        </w:rPr>
        <w:t>Final Evaluation Report</w:t>
      </w:r>
    </w:p>
    <w:p w14:paraId="0785BD2D" w14:textId="77777777" w:rsidR="000F7C82" w:rsidRPr="000F7C82" w:rsidRDefault="000F7C82" w:rsidP="000F7C82">
      <w:pPr>
        <w:jc w:val="center"/>
        <w:rPr>
          <w:rFonts w:ascii="Arial" w:hAnsi="Arial" w:cs="Arial"/>
          <w:sz w:val="36"/>
          <w:szCs w:val="36"/>
        </w:rPr>
      </w:pPr>
    </w:p>
    <w:p w14:paraId="30B724B7" w14:textId="77777777" w:rsidR="000F7C82" w:rsidRPr="000F7C82" w:rsidRDefault="000F7C82" w:rsidP="000F7C82">
      <w:pPr>
        <w:jc w:val="center"/>
        <w:rPr>
          <w:rFonts w:ascii="Arial" w:hAnsi="Arial" w:cs="Arial"/>
          <w:sz w:val="36"/>
          <w:szCs w:val="36"/>
        </w:rPr>
      </w:pPr>
    </w:p>
    <w:p w14:paraId="7D085140" w14:textId="77777777" w:rsidR="000F7C82" w:rsidRPr="005853C0" w:rsidRDefault="000F7C82" w:rsidP="000F7C82">
      <w:pPr>
        <w:jc w:val="center"/>
        <w:rPr>
          <w:rFonts w:ascii="Arial" w:hAnsi="Arial" w:cs="Arial"/>
          <w:i/>
          <w:sz w:val="28"/>
          <w:szCs w:val="28"/>
        </w:rPr>
      </w:pPr>
      <w:r w:rsidRPr="005853C0">
        <w:rPr>
          <w:rFonts w:ascii="Arial" w:hAnsi="Arial" w:cs="Arial"/>
          <w:i/>
          <w:sz w:val="28"/>
          <w:szCs w:val="28"/>
        </w:rPr>
        <w:t>Submitted to:</w:t>
      </w:r>
    </w:p>
    <w:p w14:paraId="4321FD1C" w14:textId="77777777" w:rsidR="000F7C82" w:rsidRPr="000F7C82" w:rsidRDefault="000F7C82" w:rsidP="000F7C82">
      <w:pPr>
        <w:jc w:val="center"/>
        <w:rPr>
          <w:rFonts w:ascii="Arial" w:hAnsi="Arial" w:cs="Arial"/>
          <w:sz w:val="28"/>
          <w:szCs w:val="28"/>
        </w:rPr>
      </w:pPr>
    </w:p>
    <w:p w14:paraId="09F7F491" w14:textId="77777777" w:rsidR="000F7C82" w:rsidRPr="000F7C82" w:rsidRDefault="000F7C82" w:rsidP="000F7C82">
      <w:pPr>
        <w:jc w:val="center"/>
        <w:rPr>
          <w:rFonts w:ascii="Arial" w:hAnsi="Arial" w:cs="Arial"/>
          <w:sz w:val="28"/>
          <w:szCs w:val="28"/>
        </w:rPr>
      </w:pPr>
      <w:r w:rsidRPr="000F7C82">
        <w:rPr>
          <w:rFonts w:ascii="Arial" w:hAnsi="Arial" w:cs="Arial"/>
          <w:sz w:val="28"/>
          <w:szCs w:val="28"/>
        </w:rPr>
        <w:t>Vermont Department of Health</w:t>
      </w:r>
    </w:p>
    <w:p w14:paraId="086E068B" w14:textId="77777777" w:rsidR="000F7C82" w:rsidRPr="000F7C82" w:rsidRDefault="000F7C82" w:rsidP="000F7C82">
      <w:pPr>
        <w:jc w:val="center"/>
        <w:rPr>
          <w:rFonts w:ascii="Arial" w:hAnsi="Arial" w:cs="Arial"/>
          <w:sz w:val="28"/>
          <w:szCs w:val="28"/>
        </w:rPr>
      </w:pPr>
      <w:r w:rsidRPr="000F7C82">
        <w:rPr>
          <w:rFonts w:ascii="Arial" w:hAnsi="Arial" w:cs="Arial"/>
          <w:sz w:val="28"/>
          <w:szCs w:val="28"/>
        </w:rPr>
        <w:t>Division of Alcohol and Drug Abuse Programs</w:t>
      </w:r>
    </w:p>
    <w:p w14:paraId="7FFDA7E2" w14:textId="77777777" w:rsidR="000F7C82" w:rsidRPr="000F7C82" w:rsidRDefault="000F7C82" w:rsidP="000F7C82">
      <w:pPr>
        <w:jc w:val="center"/>
        <w:rPr>
          <w:rFonts w:ascii="Arial" w:hAnsi="Arial" w:cs="Arial"/>
          <w:sz w:val="28"/>
          <w:szCs w:val="28"/>
        </w:rPr>
      </w:pPr>
      <w:r w:rsidRPr="000F7C82">
        <w:rPr>
          <w:rFonts w:ascii="Arial" w:hAnsi="Arial" w:cs="Arial"/>
          <w:sz w:val="28"/>
          <w:szCs w:val="28"/>
        </w:rPr>
        <w:t>December 2016</w:t>
      </w:r>
    </w:p>
    <w:p w14:paraId="411E7B71" w14:textId="77777777" w:rsidR="000F7C82" w:rsidRPr="000F7C82" w:rsidRDefault="000F7C82" w:rsidP="000F7C82">
      <w:pPr>
        <w:rPr>
          <w:rFonts w:ascii="Arial" w:hAnsi="Arial" w:cs="Arial"/>
          <w:b/>
          <w:sz w:val="24"/>
          <w:szCs w:val="24"/>
        </w:rPr>
      </w:pPr>
    </w:p>
    <w:p w14:paraId="49727F15" w14:textId="77777777" w:rsidR="000F7C82" w:rsidRPr="000F7C82" w:rsidRDefault="000F7C82" w:rsidP="000F7C82">
      <w:pPr>
        <w:rPr>
          <w:rFonts w:ascii="Arial" w:hAnsi="Arial" w:cs="Arial"/>
          <w:b/>
          <w:sz w:val="24"/>
          <w:szCs w:val="24"/>
        </w:rPr>
      </w:pPr>
    </w:p>
    <w:p w14:paraId="48822B16" w14:textId="77777777" w:rsidR="000F7C82" w:rsidRPr="000F7C82" w:rsidRDefault="000F7C82" w:rsidP="000F7C82">
      <w:pPr>
        <w:rPr>
          <w:rFonts w:ascii="Arial" w:hAnsi="Arial" w:cs="Arial"/>
          <w:b/>
          <w:sz w:val="24"/>
          <w:szCs w:val="24"/>
        </w:rPr>
      </w:pPr>
    </w:p>
    <w:p w14:paraId="44BBB865" w14:textId="77777777" w:rsidR="000F7C82" w:rsidRPr="000F7C82" w:rsidRDefault="000F7C82" w:rsidP="000F7C82">
      <w:pPr>
        <w:rPr>
          <w:rFonts w:ascii="Arial" w:hAnsi="Arial" w:cs="Arial"/>
          <w:b/>
          <w:sz w:val="24"/>
          <w:szCs w:val="24"/>
        </w:rPr>
      </w:pPr>
    </w:p>
    <w:p w14:paraId="709DC684" w14:textId="77777777" w:rsidR="000F7C82" w:rsidRPr="000F7C82" w:rsidRDefault="000F7C82" w:rsidP="000F7C82">
      <w:pPr>
        <w:rPr>
          <w:rFonts w:ascii="Arial" w:hAnsi="Arial" w:cs="Arial"/>
          <w:b/>
          <w:sz w:val="24"/>
          <w:szCs w:val="24"/>
        </w:rPr>
      </w:pPr>
    </w:p>
    <w:p w14:paraId="6FD5AF42" w14:textId="77777777" w:rsidR="000F7C82" w:rsidRPr="000F7C82" w:rsidRDefault="000F7C82" w:rsidP="000F7C82">
      <w:pPr>
        <w:rPr>
          <w:rFonts w:ascii="Arial" w:hAnsi="Arial" w:cs="Arial"/>
          <w:b/>
          <w:sz w:val="24"/>
          <w:szCs w:val="24"/>
        </w:rPr>
      </w:pPr>
    </w:p>
    <w:p w14:paraId="73B17A2C" w14:textId="77777777" w:rsidR="000F7C82" w:rsidRPr="000F7C82" w:rsidRDefault="000F7C82" w:rsidP="000F7C82">
      <w:pPr>
        <w:rPr>
          <w:rFonts w:ascii="Arial" w:hAnsi="Arial" w:cs="Arial"/>
          <w:b/>
          <w:sz w:val="24"/>
          <w:szCs w:val="24"/>
        </w:rPr>
      </w:pPr>
    </w:p>
    <w:p w14:paraId="7AA8EC48" w14:textId="77777777" w:rsidR="000F7C82" w:rsidRPr="000F7C82" w:rsidRDefault="000F7C82" w:rsidP="000F7C82">
      <w:pPr>
        <w:rPr>
          <w:rFonts w:ascii="Arial" w:hAnsi="Arial" w:cs="Arial"/>
          <w:b/>
          <w:sz w:val="24"/>
          <w:szCs w:val="24"/>
        </w:rPr>
      </w:pPr>
    </w:p>
    <w:p w14:paraId="3D7D8190" w14:textId="77777777" w:rsidR="000F7C82" w:rsidRPr="000F7C82" w:rsidRDefault="000F7C82" w:rsidP="000F7C82">
      <w:pPr>
        <w:rPr>
          <w:rFonts w:ascii="Arial" w:hAnsi="Arial" w:cs="Arial"/>
          <w:b/>
          <w:sz w:val="24"/>
          <w:szCs w:val="24"/>
        </w:rPr>
      </w:pPr>
    </w:p>
    <w:p w14:paraId="12E05173" w14:textId="77777777" w:rsidR="000F7C82" w:rsidRPr="000F7C82" w:rsidRDefault="000F7C82" w:rsidP="000F7C82">
      <w:pPr>
        <w:rPr>
          <w:rFonts w:ascii="Arial" w:hAnsi="Arial" w:cs="Arial"/>
          <w:b/>
          <w:sz w:val="24"/>
          <w:szCs w:val="24"/>
        </w:rPr>
      </w:pPr>
    </w:p>
    <w:p w14:paraId="42A15DFA" w14:textId="77777777" w:rsidR="000F7C82" w:rsidRPr="000F7C82" w:rsidRDefault="000F7C82" w:rsidP="000F7C82">
      <w:pPr>
        <w:rPr>
          <w:rFonts w:ascii="Arial" w:hAnsi="Arial" w:cs="Arial"/>
          <w:b/>
          <w:sz w:val="24"/>
          <w:szCs w:val="24"/>
        </w:rPr>
      </w:pPr>
    </w:p>
    <w:p w14:paraId="439F1850" w14:textId="77777777" w:rsidR="000F7C82" w:rsidRPr="000F7C82" w:rsidRDefault="000F7C82" w:rsidP="000F7C82">
      <w:pPr>
        <w:rPr>
          <w:rFonts w:ascii="Arial" w:hAnsi="Arial" w:cs="Arial"/>
          <w:b/>
          <w:sz w:val="24"/>
          <w:szCs w:val="24"/>
        </w:rPr>
      </w:pPr>
    </w:p>
    <w:p w14:paraId="49747C65" w14:textId="77777777" w:rsidR="000F7C82" w:rsidRPr="000F7C82" w:rsidRDefault="000F7C82" w:rsidP="000F7C82">
      <w:pPr>
        <w:rPr>
          <w:rFonts w:ascii="Arial" w:hAnsi="Arial" w:cs="Arial"/>
          <w:b/>
          <w:sz w:val="24"/>
          <w:szCs w:val="24"/>
        </w:rPr>
      </w:pPr>
    </w:p>
    <w:p w14:paraId="14D50589" w14:textId="77777777" w:rsidR="000F7C82" w:rsidRPr="000F7C82" w:rsidRDefault="000F7C82" w:rsidP="000F7C82">
      <w:pPr>
        <w:rPr>
          <w:rFonts w:ascii="Arial" w:hAnsi="Arial" w:cs="Arial"/>
          <w:b/>
          <w:sz w:val="24"/>
          <w:szCs w:val="24"/>
        </w:rPr>
      </w:pPr>
    </w:p>
    <w:p w14:paraId="4B422040" w14:textId="77777777" w:rsidR="000F7C82" w:rsidRPr="000F7C82" w:rsidRDefault="000F7C82" w:rsidP="000F7C82">
      <w:pPr>
        <w:rPr>
          <w:rFonts w:ascii="Arial" w:eastAsia="Times New Roman" w:hAnsi="Arial" w:cs="Arial"/>
          <w:color w:val="000000"/>
          <w:sz w:val="24"/>
          <w:szCs w:val="24"/>
        </w:rPr>
      </w:pPr>
    </w:p>
    <w:p w14:paraId="42DC1C07" w14:textId="77777777" w:rsidR="000F7C82" w:rsidRPr="000F7C82" w:rsidRDefault="000F7C82" w:rsidP="000F7C82">
      <w:pPr>
        <w:rPr>
          <w:rFonts w:ascii="Arial" w:eastAsia="Times New Roman" w:hAnsi="Arial" w:cs="Arial"/>
          <w:color w:val="000000"/>
          <w:sz w:val="24"/>
          <w:szCs w:val="24"/>
        </w:rPr>
      </w:pPr>
    </w:p>
    <w:p w14:paraId="112C1E26" w14:textId="77777777" w:rsidR="001C6AAA" w:rsidRDefault="001C6AAA" w:rsidP="000F7C82">
      <w:pPr>
        <w:rPr>
          <w:rFonts w:ascii="Arial" w:eastAsia="Times New Roman" w:hAnsi="Arial" w:cs="Arial"/>
          <w:color w:val="000000"/>
          <w:sz w:val="24"/>
          <w:szCs w:val="24"/>
        </w:rPr>
      </w:pPr>
    </w:p>
    <w:p w14:paraId="648D56F8" w14:textId="77777777" w:rsidR="001C6AAA" w:rsidRDefault="001C6AAA" w:rsidP="000F7C82">
      <w:pPr>
        <w:rPr>
          <w:rFonts w:ascii="Arial" w:eastAsia="Times New Roman" w:hAnsi="Arial" w:cs="Arial"/>
          <w:color w:val="000000"/>
          <w:sz w:val="24"/>
          <w:szCs w:val="24"/>
        </w:rPr>
      </w:pPr>
    </w:p>
    <w:p w14:paraId="1D4E46A8" w14:textId="77777777" w:rsidR="001C6AAA" w:rsidRDefault="001C6AAA" w:rsidP="000F7C82">
      <w:pPr>
        <w:rPr>
          <w:rFonts w:ascii="Arial" w:eastAsia="Times New Roman" w:hAnsi="Arial" w:cs="Arial"/>
          <w:color w:val="000000"/>
          <w:sz w:val="24"/>
          <w:szCs w:val="24"/>
        </w:rPr>
      </w:pPr>
    </w:p>
    <w:p w14:paraId="5EF95759" w14:textId="77777777" w:rsidR="000F7C82" w:rsidRPr="000F7C82" w:rsidRDefault="000F7C82" w:rsidP="000F7C82">
      <w:pPr>
        <w:rPr>
          <w:rFonts w:ascii="Arial" w:hAnsi="Arial" w:cs="Arial"/>
          <w:b/>
          <w:sz w:val="24"/>
          <w:szCs w:val="24"/>
        </w:rPr>
      </w:pPr>
      <w:r w:rsidRPr="000F7C82">
        <w:rPr>
          <w:rFonts w:ascii="Arial" w:eastAsia="Times New Roman" w:hAnsi="Arial" w:cs="Arial"/>
          <w:color w:val="000000"/>
          <w:sz w:val="24"/>
          <w:szCs w:val="24"/>
        </w:rPr>
        <w:t>Prepared by:</w:t>
      </w:r>
      <w:r w:rsidR="001C6AAA">
        <w:rPr>
          <w:rFonts w:ascii="Arial" w:eastAsia="Times New Roman" w:hAnsi="Arial" w:cs="Arial"/>
          <w:color w:val="000000"/>
          <w:sz w:val="24"/>
          <w:szCs w:val="24"/>
        </w:rPr>
        <w:t xml:space="preserve"> </w:t>
      </w:r>
      <w:r w:rsidRPr="000F7C82">
        <w:rPr>
          <w:rFonts w:ascii="Arial" w:eastAsia="Times New Roman" w:hAnsi="Arial" w:cs="Arial"/>
          <w:color w:val="000000"/>
          <w:sz w:val="24"/>
          <w:szCs w:val="24"/>
        </w:rPr>
        <w:t>Pacific Institute for Research and Evaluation</w:t>
      </w:r>
    </w:p>
    <w:p w14:paraId="1E98D3A4" w14:textId="77777777" w:rsidR="000F7C82" w:rsidRPr="000F7C82" w:rsidRDefault="001E5FEC" w:rsidP="000F7C82">
      <w:pPr>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14:anchorId="5F10796A" wp14:editId="160EB04D">
                <wp:simplePos x="0" y="0"/>
                <wp:positionH relativeFrom="margin">
                  <wp:align>left</wp:align>
                </wp:positionH>
                <wp:positionV relativeFrom="paragraph">
                  <wp:posOffset>299993</wp:posOffset>
                </wp:positionV>
                <wp:extent cx="1744579" cy="486538"/>
                <wp:effectExtent l="0" t="0" r="8255" b="8890"/>
                <wp:wrapNone/>
                <wp:docPr id="2"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44579" cy="486538"/>
                        </a:xfrm>
                        <a:custGeom>
                          <a:avLst/>
                          <a:gdLst>
                            <a:gd name="T0" fmla="*/ 110 w 1152"/>
                            <a:gd name="T1" fmla="*/ 36 h 322"/>
                            <a:gd name="T2" fmla="*/ 153 w 1152"/>
                            <a:gd name="T3" fmla="*/ 17 h 322"/>
                            <a:gd name="T4" fmla="*/ 134 w 1152"/>
                            <a:gd name="T5" fmla="*/ 48 h 322"/>
                            <a:gd name="T6" fmla="*/ 14 w 1152"/>
                            <a:gd name="T7" fmla="*/ 157 h 322"/>
                            <a:gd name="T8" fmla="*/ 32 w 1152"/>
                            <a:gd name="T9" fmla="*/ 114 h 322"/>
                            <a:gd name="T10" fmla="*/ 107 w 1152"/>
                            <a:gd name="T11" fmla="*/ 201 h 322"/>
                            <a:gd name="T12" fmla="*/ 0 w 1152"/>
                            <a:gd name="T13" fmla="*/ 125 h 322"/>
                            <a:gd name="T14" fmla="*/ 274 w 1152"/>
                            <a:gd name="T15" fmla="*/ 109 h 322"/>
                            <a:gd name="T16" fmla="*/ 261 w 1152"/>
                            <a:gd name="T17" fmla="*/ 201 h 322"/>
                            <a:gd name="T18" fmla="*/ 243 w 1152"/>
                            <a:gd name="T19" fmla="*/ 94 h 322"/>
                            <a:gd name="T20" fmla="*/ 208 w 1152"/>
                            <a:gd name="T21" fmla="*/ 111 h 322"/>
                            <a:gd name="T22" fmla="*/ 111 w 1152"/>
                            <a:gd name="T23" fmla="*/ 215 h 322"/>
                            <a:gd name="T24" fmla="*/ 209 w 1152"/>
                            <a:gd name="T25" fmla="*/ 36 h 322"/>
                            <a:gd name="T26" fmla="*/ 159 w 1152"/>
                            <a:gd name="T27" fmla="*/ 148 h 322"/>
                            <a:gd name="T28" fmla="*/ 165 w 1152"/>
                            <a:gd name="T29" fmla="*/ 18 h 322"/>
                            <a:gd name="T30" fmla="*/ 286 w 1152"/>
                            <a:gd name="T31" fmla="*/ 189 h 322"/>
                            <a:gd name="T32" fmla="*/ 231 w 1152"/>
                            <a:gd name="T33" fmla="*/ 145 h 322"/>
                            <a:gd name="T34" fmla="*/ 318 w 1152"/>
                            <a:gd name="T35" fmla="*/ 201 h 322"/>
                            <a:gd name="T36" fmla="*/ 32 w 1152"/>
                            <a:gd name="T37" fmla="*/ 212 h 322"/>
                            <a:gd name="T38" fmla="*/ 13 w 1152"/>
                            <a:gd name="T39" fmla="*/ 169 h 322"/>
                            <a:gd name="T40" fmla="*/ 76 w 1152"/>
                            <a:gd name="T41" fmla="*/ 231 h 322"/>
                            <a:gd name="T42" fmla="*/ 213 w 1152"/>
                            <a:gd name="T43" fmla="*/ 278 h 322"/>
                            <a:gd name="T44" fmla="*/ 165 w 1152"/>
                            <a:gd name="T45" fmla="*/ 309 h 322"/>
                            <a:gd name="T46" fmla="*/ 228 w 1152"/>
                            <a:gd name="T47" fmla="*/ 247 h 322"/>
                            <a:gd name="T48" fmla="*/ 211 w 1152"/>
                            <a:gd name="T49" fmla="*/ 212 h 322"/>
                            <a:gd name="T50" fmla="*/ 110 w 1152"/>
                            <a:gd name="T51" fmla="*/ 266 h 322"/>
                            <a:gd name="T52" fmla="*/ 90 w 1152"/>
                            <a:gd name="T53" fmla="*/ 247 h 322"/>
                            <a:gd name="T54" fmla="*/ 154 w 1152"/>
                            <a:gd name="T55" fmla="*/ 308 h 322"/>
                            <a:gd name="T56" fmla="*/ 1129 w 1152"/>
                            <a:gd name="T57" fmla="*/ 304 h 322"/>
                            <a:gd name="T58" fmla="*/ 1000 w 1152"/>
                            <a:gd name="T59" fmla="*/ 261 h 322"/>
                            <a:gd name="T60" fmla="*/ 1118 w 1152"/>
                            <a:gd name="T61" fmla="*/ 176 h 322"/>
                            <a:gd name="T62" fmla="*/ 1000 w 1152"/>
                            <a:gd name="T63" fmla="*/ 158 h 322"/>
                            <a:gd name="T64" fmla="*/ 1136 w 1152"/>
                            <a:gd name="T65" fmla="*/ 53 h 322"/>
                            <a:gd name="T66" fmla="*/ 964 w 1152"/>
                            <a:gd name="T67" fmla="*/ 44 h 322"/>
                            <a:gd name="T68" fmla="*/ 855 w 1152"/>
                            <a:gd name="T69" fmla="*/ 191 h 322"/>
                            <a:gd name="T70" fmla="*/ 856 w 1152"/>
                            <a:gd name="T71" fmla="*/ 21 h 322"/>
                            <a:gd name="T72" fmla="*/ 710 w 1152"/>
                            <a:gd name="T73" fmla="*/ 22 h 322"/>
                            <a:gd name="T74" fmla="*/ 692 w 1152"/>
                            <a:gd name="T75" fmla="*/ 316 h 322"/>
                            <a:gd name="T76" fmla="*/ 749 w 1152"/>
                            <a:gd name="T77" fmla="*/ 169 h 322"/>
                            <a:gd name="T78" fmla="*/ 898 w 1152"/>
                            <a:gd name="T79" fmla="*/ 303 h 322"/>
                            <a:gd name="T80" fmla="*/ 1152 w 1152"/>
                            <a:gd name="T81" fmla="*/ 274 h 322"/>
                            <a:gd name="T82" fmla="*/ 774 w 1152"/>
                            <a:gd name="T83" fmla="*/ 19 h 322"/>
                            <a:gd name="T84" fmla="*/ 511 w 1152"/>
                            <a:gd name="T85" fmla="*/ 21 h 322"/>
                            <a:gd name="T86" fmla="*/ 378 w 1152"/>
                            <a:gd name="T87" fmla="*/ 40 h 322"/>
                            <a:gd name="T88" fmla="*/ 436 w 1152"/>
                            <a:gd name="T89" fmla="*/ 312 h 322"/>
                            <a:gd name="T90" fmla="*/ 484 w 1152"/>
                            <a:gd name="T91" fmla="*/ 30 h 322"/>
                            <a:gd name="T92" fmla="*/ 453 w 1152"/>
                            <a:gd name="T93" fmla="*/ 164 h 322"/>
                            <a:gd name="T94" fmla="*/ 579 w 1152"/>
                            <a:gd name="T95" fmla="*/ 14 h 322"/>
                            <a:gd name="T96" fmla="*/ 579 w 1152"/>
                            <a:gd name="T97" fmla="*/ 312 h 322"/>
                            <a:gd name="T98" fmla="*/ 639 w 1152"/>
                            <a:gd name="T99" fmla="*/ 302 h 322"/>
                            <a:gd name="T100" fmla="*/ 661 w 1152"/>
                            <a:gd name="T101" fmla="*/ 14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52" h="322">
                              <a:moveTo>
                                <a:pt x="91" y="80"/>
                              </a:moveTo>
                              <a:cubicBezTo>
                                <a:pt x="93" y="78"/>
                                <a:pt x="108" y="63"/>
                                <a:pt x="111" y="61"/>
                              </a:cubicBezTo>
                              <a:cubicBezTo>
                                <a:pt x="110" y="60"/>
                                <a:pt x="110" y="60"/>
                                <a:pt x="110" y="60"/>
                              </a:cubicBezTo>
                              <a:cubicBezTo>
                                <a:pt x="106" y="57"/>
                                <a:pt x="105" y="53"/>
                                <a:pt x="105" y="48"/>
                              </a:cubicBezTo>
                              <a:cubicBezTo>
                                <a:pt x="105" y="44"/>
                                <a:pt x="106" y="40"/>
                                <a:pt x="110" y="36"/>
                              </a:cubicBezTo>
                              <a:cubicBezTo>
                                <a:pt x="113" y="33"/>
                                <a:pt x="117" y="31"/>
                                <a:pt x="121" y="31"/>
                              </a:cubicBezTo>
                              <a:cubicBezTo>
                                <a:pt x="126" y="31"/>
                                <a:pt x="130" y="33"/>
                                <a:pt x="133" y="36"/>
                              </a:cubicBezTo>
                              <a:cubicBezTo>
                                <a:pt x="133" y="36"/>
                                <a:pt x="175" y="78"/>
                                <a:pt x="177" y="80"/>
                              </a:cubicBezTo>
                              <a:cubicBezTo>
                                <a:pt x="197" y="61"/>
                                <a:pt x="197" y="61"/>
                                <a:pt x="197" y="61"/>
                              </a:cubicBezTo>
                              <a:cubicBezTo>
                                <a:pt x="194" y="59"/>
                                <a:pt x="153" y="17"/>
                                <a:pt x="153" y="17"/>
                              </a:cubicBezTo>
                              <a:cubicBezTo>
                                <a:pt x="135" y="0"/>
                                <a:pt x="107" y="0"/>
                                <a:pt x="90" y="17"/>
                              </a:cubicBezTo>
                              <a:cubicBezTo>
                                <a:pt x="81" y="25"/>
                                <a:pt x="77" y="37"/>
                                <a:pt x="77" y="48"/>
                              </a:cubicBezTo>
                              <a:cubicBezTo>
                                <a:pt x="77" y="59"/>
                                <a:pt x="81" y="71"/>
                                <a:pt x="90" y="79"/>
                              </a:cubicBezTo>
                              <a:cubicBezTo>
                                <a:pt x="90" y="79"/>
                                <a:pt x="91" y="80"/>
                                <a:pt x="91" y="80"/>
                              </a:cubicBezTo>
                              <a:close/>
                              <a:moveTo>
                                <a:pt x="134" y="48"/>
                              </a:moveTo>
                              <a:cubicBezTo>
                                <a:pt x="132" y="51"/>
                                <a:pt x="90" y="93"/>
                                <a:pt x="87" y="95"/>
                              </a:cubicBezTo>
                              <a:cubicBezTo>
                                <a:pt x="89" y="97"/>
                                <a:pt x="105" y="112"/>
                                <a:pt x="107" y="114"/>
                              </a:cubicBezTo>
                              <a:cubicBezTo>
                                <a:pt x="154" y="68"/>
                                <a:pt x="154" y="68"/>
                                <a:pt x="154" y="68"/>
                              </a:cubicBezTo>
                              <a:cubicBezTo>
                                <a:pt x="152" y="66"/>
                                <a:pt x="136" y="50"/>
                                <a:pt x="134" y="48"/>
                              </a:cubicBezTo>
                              <a:close/>
                              <a:moveTo>
                                <a:pt x="14" y="157"/>
                              </a:moveTo>
                              <a:cubicBezTo>
                                <a:pt x="16" y="155"/>
                                <a:pt x="31" y="140"/>
                                <a:pt x="33" y="138"/>
                              </a:cubicBezTo>
                              <a:cubicBezTo>
                                <a:pt x="33" y="138"/>
                                <a:pt x="32" y="137"/>
                                <a:pt x="32" y="137"/>
                              </a:cubicBezTo>
                              <a:cubicBezTo>
                                <a:pt x="29" y="134"/>
                                <a:pt x="28" y="130"/>
                                <a:pt x="28" y="125"/>
                              </a:cubicBezTo>
                              <a:cubicBezTo>
                                <a:pt x="28" y="125"/>
                                <a:pt x="28" y="125"/>
                                <a:pt x="28" y="125"/>
                              </a:cubicBezTo>
                              <a:cubicBezTo>
                                <a:pt x="28" y="121"/>
                                <a:pt x="29" y="117"/>
                                <a:pt x="32" y="114"/>
                              </a:cubicBezTo>
                              <a:cubicBezTo>
                                <a:pt x="36" y="110"/>
                                <a:pt x="40" y="109"/>
                                <a:pt x="44" y="109"/>
                              </a:cubicBezTo>
                              <a:cubicBezTo>
                                <a:pt x="49" y="109"/>
                                <a:pt x="53" y="110"/>
                                <a:pt x="56" y="114"/>
                              </a:cubicBezTo>
                              <a:cubicBezTo>
                                <a:pt x="105" y="163"/>
                                <a:pt x="105" y="163"/>
                                <a:pt x="105" y="163"/>
                              </a:cubicBezTo>
                              <a:cubicBezTo>
                                <a:pt x="105" y="163"/>
                                <a:pt x="89" y="179"/>
                                <a:pt x="87" y="181"/>
                              </a:cubicBezTo>
                              <a:cubicBezTo>
                                <a:pt x="89" y="183"/>
                                <a:pt x="105" y="198"/>
                                <a:pt x="107" y="201"/>
                              </a:cubicBezTo>
                              <a:cubicBezTo>
                                <a:pt x="109" y="198"/>
                                <a:pt x="142" y="165"/>
                                <a:pt x="144" y="163"/>
                              </a:cubicBezTo>
                              <a:cubicBezTo>
                                <a:pt x="142" y="161"/>
                                <a:pt x="75" y="94"/>
                                <a:pt x="75" y="94"/>
                              </a:cubicBezTo>
                              <a:cubicBezTo>
                                <a:pt x="67" y="86"/>
                                <a:pt x="56" y="81"/>
                                <a:pt x="44" y="81"/>
                              </a:cubicBezTo>
                              <a:cubicBezTo>
                                <a:pt x="32" y="81"/>
                                <a:pt x="21" y="86"/>
                                <a:pt x="13" y="94"/>
                              </a:cubicBezTo>
                              <a:cubicBezTo>
                                <a:pt x="4" y="103"/>
                                <a:pt x="0" y="114"/>
                                <a:pt x="0" y="125"/>
                              </a:cubicBezTo>
                              <a:cubicBezTo>
                                <a:pt x="0" y="137"/>
                                <a:pt x="4" y="148"/>
                                <a:pt x="13" y="157"/>
                              </a:cubicBezTo>
                              <a:cubicBezTo>
                                <a:pt x="13" y="157"/>
                                <a:pt x="13" y="157"/>
                                <a:pt x="14" y="157"/>
                              </a:cubicBezTo>
                              <a:close/>
                              <a:moveTo>
                                <a:pt x="261" y="114"/>
                              </a:moveTo>
                              <a:cubicBezTo>
                                <a:pt x="262" y="114"/>
                                <a:pt x="262" y="114"/>
                                <a:pt x="262" y="114"/>
                              </a:cubicBezTo>
                              <a:cubicBezTo>
                                <a:pt x="265" y="110"/>
                                <a:pt x="269" y="109"/>
                                <a:pt x="274" y="109"/>
                              </a:cubicBezTo>
                              <a:cubicBezTo>
                                <a:pt x="278" y="109"/>
                                <a:pt x="283" y="110"/>
                                <a:pt x="286" y="114"/>
                              </a:cubicBezTo>
                              <a:cubicBezTo>
                                <a:pt x="289" y="117"/>
                                <a:pt x="291" y="121"/>
                                <a:pt x="291" y="125"/>
                              </a:cubicBezTo>
                              <a:cubicBezTo>
                                <a:pt x="291" y="130"/>
                                <a:pt x="289" y="134"/>
                                <a:pt x="286" y="137"/>
                              </a:cubicBezTo>
                              <a:cubicBezTo>
                                <a:pt x="286" y="137"/>
                                <a:pt x="244" y="179"/>
                                <a:pt x="242" y="181"/>
                              </a:cubicBezTo>
                              <a:cubicBezTo>
                                <a:pt x="244" y="183"/>
                                <a:pt x="259" y="198"/>
                                <a:pt x="261" y="201"/>
                              </a:cubicBezTo>
                              <a:cubicBezTo>
                                <a:pt x="264" y="198"/>
                                <a:pt x="305" y="157"/>
                                <a:pt x="305" y="157"/>
                              </a:cubicBezTo>
                              <a:cubicBezTo>
                                <a:pt x="314" y="148"/>
                                <a:pt x="318" y="137"/>
                                <a:pt x="318" y="125"/>
                              </a:cubicBezTo>
                              <a:cubicBezTo>
                                <a:pt x="318" y="114"/>
                                <a:pt x="314" y="103"/>
                                <a:pt x="305" y="94"/>
                              </a:cubicBezTo>
                              <a:cubicBezTo>
                                <a:pt x="297" y="86"/>
                                <a:pt x="286" y="81"/>
                                <a:pt x="274" y="81"/>
                              </a:cubicBezTo>
                              <a:cubicBezTo>
                                <a:pt x="262" y="81"/>
                                <a:pt x="251" y="86"/>
                                <a:pt x="243" y="94"/>
                              </a:cubicBezTo>
                              <a:cubicBezTo>
                                <a:pt x="243" y="94"/>
                                <a:pt x="242" y="94"/>
                                <a:pt x="242" y="95"/>
                              </a:cubicBezTo>
                              <a:cubicBezTo>
                                <a:pt x="244" y="97"/>
                                <a:pt x="259" y="112"/>
                                <a:pt x="261" y="114"/>
                              </a:cubicBezTo>
                              <a:close/>
                              <a:moveTo>
                                <a:pt x="274" y="138"/>
                              </a:moveTo>
                              <a:cubicBezTo>
                                <a:pt x="272" y="136"/>
                                <a:pt x="229" y="94"/>
                                <a:pt x="227" y="91"/>
                              </a:cubicBezTo>
                              <a:cubicBezTo>
                                <a:pt x="225" y="93"/>
                                <a:pt x="210" y="109"/>
                                <a:pt x="208" y="111"/>
                              </a:cubicBezTo>
                              <a:cubicBezTo>
                                <a:pt x="210" y="113"/>
                                <a:pt x="252" y="155"/>
                                <a:pt x="254" y="157"/>
                              </a:cubicBezTo>
                              <a:cubicBezTo>
                                <a:pt x="256" y="155"/>
                                <a:pt x="272" y="140"/>
                                <a:pt x="274" y="138"/>
                              </a:cubicBezTo>
                              <a:close/>
                              <a:moveTo>
                                <a:pt x="44" y="188"/>
                              </a:moveTo>
                              <a:cubicBezTo>
                                <a:pt x="47" y="190"/>
                                <a:pt x="89" y="232"/>
                                <a:pt x="91" y="235"/>
                              </a:cubicBezTo>
                              <a:cubicBezTo>
                                <a:pt x="111" y="215"/>
                                <a:pt x="111" y="215"/>
                                <a:pt x="111" y="215"/>
                              </a:cubicBezTo>
                              <a:cubicBezTo>
                                <a:pt x="108" y="213"/>
                                <a:pt x="66" y="171"/>
                                <a:pt x="64" y="168"/>
                              </a:cubicBezTo>
                              <a:cubicBezTo>
                                <a:pt x="62" y="171"/>
                                <a:pt x="46" y="186"/>
                                <a:pt x="44" y="188"/>
                              </a:cubicBezTo>
                              <a:close/>
                              <a:moveTo>
                                <a:pt x="185" y="36"/>
                              </a:moveTo>
                              <a:cubicBezTo>
                                <a:pt x="188" y="33"/>
                                <a:pt x="192" y="31"/>
                                <a:pt x="197" y="31"/>
                              </a:cubicBezTo>
                              <a:cubicBezTo>
                                <a:pt x="201" y="31"/>
                                <a:pt x="205" y="33"/>
                                <a:pt x="209" y="36"/>
                              </a:cubicBezTo>
                              <a:cubicBezTo>
                                <a:pt x="215" y="43"/>
                                <a:pt x="215" y="53"/>
                                <a:pt x="209" y="60"/>
                              </a:cubicBezTo>
                              <a:cubicBezTo>
                                <a:pt x="159" y="109"/>
                                <a:pt x="159" y="109"/>
                                <a:pt x="159" y="109"/>
                              </a:cubicBezTo>
                              <a:cubicBezTo>
                                <a:pt x="159" y="109"/>
                                <a:pt x="143" y="93"/>
                                <a:pt x="141" y="91"/>
                              </a:cubicBezTo>
                              <a:cubicBezTo>
                                <a:pt x="139" y="93"/>
                                <a:pt x="124" y="109"/>
                                <a:pt x="122" y="111"/>
                              </a:cubicBezTo>
                              <a:cubicBezTo>
                                <a:pt x="124" y="113"/>
                                <a:pt x="157" y="146"/>
                                <a:pt x="159" y="148"/>
                              </a:cubicBezTo>
                              <a:cubicBezTo>
                                <a:pt x="161" y="146"/>
                                <a:pt x="228" y="79"/>
                                <a:pt x="228" y="79"/>
                              </a:cubicBezTo>
                              <a:cubicBezTo>
                                <a:pt x="237" y="71"/>
                                <a:pt x="241" y="59"/>
                                <a:pt x="241" y="48"/>
                              </a:cubicBezTo>
                              <a:cubicBezTo>
                                <a:pt x="241" y="37"/>
                                <a:pt x="237" y="25"/>
                                <a:pt x="228" y="17"/>
                              </a:cubicBezTo>
                              <a:cubicBezTo>
                                <a:pt x="211" y="0"/>
                                <a:pt x="183" y="0"/>
                                <a:pt x="165" y="17"/>
                              </a:cubicBezTo>
                              <a:cubicBezTo>
                                <a:pt x="165" y="17"/>
                                <a:pt x="165" y="17"/>
                                <a:pt x="165" y="18"/>
                              </a:cubicBezTo>
                              <a:cubicBezTo>
                                <a:pt x="167" y="20"/>
                                <a:pt x="182" y="35"/>
                                <a:pt x="184" y="37"/>
                              </a:cubicBezTo>
                              <a:cubicBezTo>
                                <a:pt x="184" y="37"/>
                                <a:pt x="185" y="36"/>
                                <a:pt x="185" y="36"/>
                              </a:cubicBezTo>
                              <a:close/>
                              <a:moveTo>
                                <a:pt x="304" y="168"/>
                              </a:moveTo>
                              <a:cubicBezTo>
                                <a:pt x="302" y="171"/>
                                <a:pt x="287" y="186"/>
                                <a:pt x="285" y="188"/>
                              </a:cubicBezTo>
                              <a:cubicBezTo>
                                <a:pt x="285" y="188"/>
                                <a:pt x="286" y="189"/>
                                <a:pt x="286" y="189"/>
                              </a:cubicBezTo>
                              <a:cubicBezTo>
                                <a:pt x="289" y="192"/>
                                <a:pt x="291" y="196"/>
                                <a:pt x="291" y="201"/>
                              </a:cubicBezTo>
                              <a:cubicBezTo>
                                <a:pt x="291" y="205"/>
                                <a:pt x="289" y="209"/>
                                <a:pt x="286" y="212"/>
                              </a:cubicBezTo>
                              <a:cubicBezTo>
                                <a:pt x="279" y="219"/>
                                <a:pt x="269" y="219"/>
                                <a:pt x="262" y="212"/>
                              </a:cubicBezTo>
                              <a:cubicBezTo>
                                <a:pt x="213" y="163"/>
                                <a:pt x="213" y="163"/>
                                <a:pt x="213" y="163"/>
                              </a:cubicBezTo>
                              <a:cubicBezTo>
                                <a:pt x="213" y="163"/>
                                <a:pt x="229" y="147"/>
                                <a:pt x="231" y="145"/>
                              </a:cubicBezTo>
                              <a:cubicBezTo>
                                <a:pt x="229" y="143"/>
                                <a:pt x="213" y="128"/>
                                <a:pt x="211" y="125"/>
                              </a:cubicBezTo>
                              <a:cubicBezTo>
                                <a:pt x="209" y="128"/>
                                <a:pt x="176" y="161"/>
                                <a:pt x="174" y="163"/>
                              </a:cubicBezTo>
                              <a:cubicBezTo>
                                <a:pt x="176" y="165"/>
                                <a:pt x="243" y="232"/>
                                <a:pt x="243" y="232"/>
                              </a:cubicBezTo>
                              <a:cubicBezTo>
                                <a:pt x="260" y="249"/>
                                <a:pt x="288" y="249"/>
                                <a:pt x="305" y="232"/>
                              </a:cubicBezTo>
                              <a:cubicBezTo>
                                <a:pt x="314" y="223"/>
                                <a:pt x="318" y="212"/>
                                <a:pt x="318" y="201"/>
                              </a:cubicBezTo>
                              <a:cubicBezTo>
                                <a:pt x="318" y="189"/>
                                <a:pt x="314" y="178"/>
                                <a:pt x="305" y="169"/>
                              </a:cubicBezTo>
                              <a:cubicBezTo>
                                <a:pt x="305" y="169"/>
                                <a:pt x="305" y="169"/>
                                <a:pt x="304" y="168"/>
                              </a:cubicBezTo>
                              <a:close/>
                              <a:moveTo>
                                <a:pt x="57" y="212"/>
                              </a:moveTo>
                              <a:cubicBezTo>
                                <a:pt x="56" y="212"/>
                                <a:pt x="56" y="212"/>
                                <a:pt x="56" y="212"/>
                              </a:cubicBezTo>
                              <a:cubicBezTo>
                                <a:pt x="49" y="219"/>
                                <a:pt x="39" y="219"/>
                                <a:pt x="32" y="212"/>
                              </a:cubicBezTo>
                              <a:cubicBezTo>
                                <a:pt x="29" y="209"/>
                                <a:pt x="28" y="205"/>
                                <a:pt x="28" y="201"/>
                              </a:cubicBezTo>
                              <a:cubicBezTo>
                                <a:pt x="28" y="196"/>
                                <a:pt x="29" y="192"/>
                                <a:pt x="32" y="189"/>
                              </a:cubicBezTo>
                              <a:cubicBezTo>
                                <a:pt x="32" y="189"/>
                                <a:pt x="74" y="147"/>
                                <a:pt x="76" y="145"/>
                              </a:cubicBezTo>
                              <a:cubicBezTo>
                                <a:pt x="74" y="143"/>
                                <a:pt x="59" y="128"/>
                                <a:pt x="57" y="125"/>
                              </a:cubicBezTo>
                              <a:cubicBezTo>
                                <a:pt x="55" y="128"/>
                                <a:pt x="13" y="169"/>
                                <a:pt x="13" y="169"/>
                              </a:cubicBezTo>
                              <a:cubicBezTo>
                                <a:pt x="4" y="178"/>
                                <a:pt x="0" y="189"/>
                                <a:pt x="0" y="201"/>
                              </a:cubicBezTo>
                              <a:cubicBezTo>
                                <a:pt x="0" y="212"/>
                                <a:pt x="4" y="223"/>
                                <a:pt x="13" y="232"/>
                              </a:cubicBezTo>
                              <a:cubicBezTo>
                                <a:pt x="21" y="240"/>
                                <a:pt x="32" y="245"/>
                                <a:pt x="44" y="245"/>
                              </a:cubicBezTo>
                              <a:cubicBezTo>
                                <a:pt x="56" y="245"/>
                                <a:pt x="67" y="240"/>
                                <a:pt x="75" y="232"/>
                              </a:cubicBezTo>
                              <a:cubicBezTo>
                                <a:pt x="75" y="232"/>
                                <a:pt x="76" y="231"/>
                                <a:pt x="76" y="231"/>
                              </a:cubicBezTo>
                              <a:cubicBezTo>
                                <a:pt x="74" y="229"/>
                                <a:pt x="59" y="214"/>
                                <a:pt x="57" y="212"/>
                              </a:cubicBezTo>
                              <a:close/>
                              <a:moveTo>
                                <a:pt x="227" y="246"/>
                              </a:moveTo>
                              <a:cubicBezTo>
                                <a:pt x="225" y="248"/>
                                <a:pt x="210" y="263"/>
                                <a:pt x="208" y="265"/>
                              </a:cubicBezTo>
                              <a:cubicBezTo>
                                <a:pt x="208" y="266"/>
                                <a:pt x="209" y="266"/>
                                <a:pt x="209" y="266"/>
                              </a:cubicBezTo>
                              <a:cubicBezTo>
                                <a:pt x="212" y="269"/>
                                <a:pt x="213" y="274"/>
                                <a:pt x="213" y="278"/>
                              </a:cubicBezTo>
                              <a:cubicBezTo>
                                <a:pt x="213" y="282"/>
                                <a:pt x="212" y="286"/>
                                <a:pt x="209" y="290"/>
                              </a:cubicBezTo>
                              <a:cubicBezTo>
                                <a:pt x="202" y="296"/>
                                <a:pt x="191" y="296"/>
                                <a:pt x="185" y="290"/>
                              </a:cubicBezTo>
                              <a:cubicBezTo>
                                <a:pt x="185" y="290"/>
                                <a:pt x="143" y="248"/>
                                <a:pt x="141" y="246"/>
                              </a:cubicBezTo>
                              <a:cubicBezTo>
                                <a:pt x="139" y="248"/>
                                <a:pt x="124" y="263"/>
                                <a:pt x="122" y="265"/>
                              </a:cubicBezTo>
                              <a:cubicBezTo>
                                <a:pt x="124" y="267"/>
                                <a:pt x="165" y="309"/>
                                <a:pt x="165" y="309"/>
                              </a:cubicBezTo>
                              <a:cubicBezTo>
                                <a:pt x="174" y="317"/>
                                <a:pt x="185" y="322"/>
                                <a:pt x="197" y="322"/>
                              </a:cubicBezTo>
                              <a:cubicBezTo>
                                <a:pt x="197" y="322"/>
                                <a:pt x="197" y="322"/>
                                <a:pt x="197" y="322"/>
                              </a:cubicBezTo>
                              <a:cubicBezTo>
                                <a:pt x="209" y="322"/>
                                <a:pt x="220" y="317"/>
                                <a:pt x="228" y="309"/>
                              </a:cubicBezTo>
                              <a:cubicBezTo>
                                <a:pt x="236" y="301"/>
                                <a:pt x="241" y="290"/>
                                <a:pt x="241" y="278"/>
                              </a:cubicBezTo>
                              <a:cubicBezTo>
                                <a:pt x="241" y="266"/>
                                <a:pt x="236" y="255"/>
                                <a:pt x="228" y="247"/>
                              </a:cubicBezTo>
                              <a:cubicBezTo>
                                <a:pt x="228" y="247"/>
                                <a:pt x="228" y="246"/>
                                <a:pt x="227" y="246"/>
                              </a:cubicBezTo>
                              <a:close/>
                              <a:moveTo>
                                <a:pt x="165" y="258"/>
                              </a:moveTo>
                              <a:cubicBezTo>
                                <a:pt x="167" y="260"/>
                                <a:pt x="182" y="276"/>
                                <a:pt x="184" y="278"/>
                              </a:cubicBezTo>
                              <a:cubicBezTo>
                                <a:pt x="186" y="275"/>
                                <a:pt x="228" y="233"/>
                                <a:pt x="231" y="231"/>
                              </a:cubicBezTo>
                              <a:cubicBezTo>
                                <a:pt x="229" y="229"/>
                                <a:pt x="213" y="214"/>
                                <a:pt x="211" y="212"/>
                              </a:cubicBezTo>
                              <a:cubicBezTo>
                                <a:pt x="209" y="214"/>
                                <a:pt x="167" y="256"/>
                                <a:pt x="165" y="258"/>
                              </a:cubicBezTo>
                              <a:close/>
                              <a:moveTo>
                                <a:pt x="133" y="290"/>
                              </a:moveTo>
                              <a:cubicBezTo>
                                <a:pt x="127" y="296"/>
                                <a:pt x="116" y="296"/>
                                <a:pt x="110" y="290"/>
                              </a:cubicBezTo>
                              <a:cubicBezTo>
                                <a:pt x="106" y="286"/>
                                <a:pt x="105" y="282"/>
                                <a:pt x="105" y="278"/>
                              </a:cubicBezTo>
                              <a:cubicBezTo>
                                <a:pt x="105" y="273"/>
                                <a:pt x="106" y="269"/>
                                <a:pt x="110" y="266"/>
                              </a:cubicBezTo>
                              <a:cubicBezTo>
                                <a:pt x="159" y="217"/>
                                <a:pt x="159" y="217"/>
                                <a:pt x="159" y="217"/>
                              </a:cubicBezTo>
                              <a:cubicBezTo>
                                <a:pt x="159" y="217"/>
                                <a:pt x="175" y="233"/>
                                <a:pt x="177" y="235"/>
                              </a:cubicBezTo>
                              <a:cubicBezTo>
                                <a:pt x="179" y="233"/>
                                <a:pt x="195" y="217"/>
                                <a:pt x="197" y="215"/>
                              </a:cubicBezTo>
                              <a:cubicBezTo>
                                <a:pt x="194" y="213"/>
                                <a:pt x="161" y="180"/>
                                <a:pt x="159" y="178"/>
                              </a:cubicBezTo>
                              <a:cubicBezTo>
                                <a:pt x="157" y="180"/>
                                <a:pt x="90" y="247"/>
                                <a:pt x="90" y="247"/>
                              </a:cubicBezTo>
                              <a:cubicBezTo>
                                <a:pt x="81" y="255"/>
                                <a:pt x="77" y="267"/>
                                <a:pt x="77" y="278"/>
                              </a:cubicBezTo>
                              <a:cubicBezTo>
                                <a:pt x="77" y="289"/>
                                <a:pt x="81" y="300"/>
                                <a:pt x="90" y="309"/>
                              </a:cubicBezTo>
                              <a:cubicBezTo>
                                <a:pt x="98" y="317"/>
                                <a:pt x="110" y="322"/>
                                <a:pt x="121" y="322"/>
                              </a:cubicBezTo>
                              <a:cubicBezTo>
                                <a:pt x="133" y="322"/>
                                <a:pt x="144" y="317"/>
                                <a:pt x="153" y="309"/>
                              </a:cubicBezTo>
                              <a:cubicBezTo>
                                <a:pt x="153" y="309"/>
                                <a:pt x="153" y="309"/>
                                <a:pt x="154" y="308"/>
                              </a:cubicBezTo>
                              <a:cubicBezTo>
                                <a:pt x="134" y="289"/>
                                <a:pt x="134" y="289"/>
                                <a:pt x="134" y="289"/>
                              </a:cubicBezTo>
                              <a:cubicBezTo>
                                <a:pt x="134" y="289"/>
                                <a:pt x="133" y="290"/>
                                <a:pt x="133" y="290"/>
                              </a:cubicBezTo>
                              <a:close/>
                              <a:moveTo>
                                <a:pt x="1149" y="274"/>
                              </a:moveTo>
                              <a:cubicBezTo>
                                <a:pt x="1147" y="286"/>
                                <a:pt x="1144" y="293"/>
                                <a:pt x="1141" y="297"/>
                              </a:cubicBezTo>
                              <a:cubicBezTo>
                                <a:pt x="1138" y="300"/>
                                <a:pt x="1134" y="303"/>
                                <a:pt x="1129" y="304"/>
                              </a:cubicBezTo>
                              <a:cubicBezTo>
                                <a:pt x="1124" y="305"/>
                                <a:pt x="1113" y="306"/>
                                <a:pt x="1096" y="306"/>
                              </a:cubicBezTo>
                              <a:cubicBezTo>
                                <a:pt x="1042" y="306"/>
                                <a:pt x="1042" y="306"/>
                                <a:pt x="1042" y="306"/>
                              </a:cubicBezTo>
                              <a:cubicBezTo>
                                <a:pt x="1031" y="306"/>
                                <a:pt x="1022" y="305"/>
                                <a:pt x="1016" y="303"/>
                              </a:cubicBezTo>
                              <a:cubicBezTo>
                                <a:pt x="1011" y="302"/>
                                <a:pt x="1006" y="298"/>
                                <a:pt x="1004" y="291"/>
                              </a:cubicBezTo>
                              <a:cubicBezTo>
                                <a:pt x="1001" y="285"/>
                                <a:pt x="1000" y="275"/>
                                <a:pt x="1000" y="261"/>
                              </a:cubicBezTo>
                              <a:cubicBezTo>
                                <a:pt x="1000" y="166"/>
                                <a:pt x="1000" y="166"/>
                                <a:pt x="1000" y="166"/>
                              </a:cubicBezTo>
                              <a:cubicBezTo>
                                <a:pt x="1096" y="166"/>
                                <a:pt x="1096" y="166"/>
                                <a:pt x="1096" y="166"/>
                              </a:cubicBezTo>
                              <a:cubicBezTo>
                                <a:pt x="1103" y="166"/>
                                <a:pt x="1108" y="167"/>
                                <a:pt x="1110" y="168"/>
                              </a:cubicBezTo>
                              <a:cubicBezTo>
                                <a:pt x="1113" y="169"/>
                                <a:pt x="1114" y="172"/>
                                <a:pt x="1115" y="176"/>
                              </a:cubicBezTo>
                              <a:cubicBezTo>
                                <a:pt x="1118" y="176"/>
                                <a:pt x="1118" y="176"/>
                                <a:pt x="1118" y="176"/>
                              </a:cubicBezTo>
                              <a:cubicBezTo>
                                <a:pt x="1118" y="148"/>
                                <a:pt x="1118" y="148"/>
                                <a:pt x="1118" y="148"/>
                              </a:cubicBezTo>
                              <a:cubicBezTo>
                                <a:pt x="1115" y="148"/>
                                <a:pt x="1115" y="148"/>
                                <a:pt x="1115" y="148"/>
                              </a:cubicBezTo>
                              <a:cubicBezTo>
                                <a:pt x="1115" y="151"/>
                                <a:pt x="1114" y="153"/>
                                <a:pt x="1111" y="155"/>
                              </a:cubicBezTo>
                              <a:cubicBezTo>
                                <a:pt x="1109" y="157"/>
                                <a:pt x="1103" y="158"/>
                                <a:pt x="1093" y="158"/>
                              </a:cubicBezTo>
                              <a:cubicBezTo>
                                <a:pt x="1000" y="158"/>
                                <a:pt x="1000" y="158"/>
                                <a:pt x="1000" y="158"/>
                              </a:cubicBezTo>
                              <a:cubicBezTo>
                                <a:pt x="1000" y="21"/>
                                <a:pt x="1000" y="21"/>
                                <a:pt x="1000" y="21"/>
                              </a:cubicBezTo>
                              <a:cubicBezTo>
                                <a:pt x="1101" y="21"/>
                                <a:pt x="1101" y="21"/>
                                <a:pt x="1101" y="21"/>
                              </a:cubicBezTo>
                              <a:cubicBezTo>
                                <a:pt x="1112" y="21"/>
                                <a:pt x="1119" y="22"/>
                                <a:pt x="1122" y="25"/>
                              </a:cubicBezTo>
                              <a:cubicBezTo>
                                <a:pt x="1125" y="28"/>
                                <a:pt x="1128" y="37"/>
                                <a:pt x="1132" y="53"/>
                              </a:cubicBezTo>
                              <a:cubicBezTo>
                                <a:pt x="1136" y="53"/>
                                <a:pt x="1136" y="53"/>
                                <a:pt x="1136" y="53"/>
                              </a:cubicBezTo>
                              <a:cubicBezTo>
                                <a:pt x="1136" y="10"/>
                                <a:pt x="1136" y="10"/>
                                <a:pt x="1136" y="10"/>
                              </a:cubicBezTo>
                              <a:cubicBezTo>
                                <a:pt x="943" y="10"/>
                                <a:pt x="943" y="10"/>
                                <a:pt x="943" y="10"/>
                              </a:cubicBezTo>
                              <a:cubicBezTo>
                                <a:pt x="943" y="14"/>
                                <a:pt x="943" y="14"/>
                                <a:pt x="943" y="14"/>
                              </a:cubicBezTo>
                              <a:cubicBezTo>
                                <a:pt x="953" y="14"/>
                                <a:pt x="960" y="16"/>
                                <a:pt x="962" y="21"/>
                              </a:cubicBezTo>
                              <a:cubicBezTo>
                                <a:pt x="963" y="25"/>
                                <a:pt x="964" y="33"/>
                                <a:pt x="964" y="44"/>
                              </a:cubicBezTo>
                              <a:cubicBezTo>
                                <a:pt x="964" y="291"/>
                                <a:pt x="964" y="291"/>
                                <a:pt x="964" y="291"/>
                              </a:cubicBezTo>
                              <a:cubicBezTo>
                                <a:pt x="964" y="297"/>
                                <a:pt x="963" y="302"/>
                                <a:pt x="962" y="305"/>
                              </a:cubicBezTo>
                              <a:cubicBezTo>
                                <a:pt x="954" y="304"/>
                                <a:pt x="947" y="301"/>
                                <a:pt x="940" y="297"/>
                              </a:cubicBezTo>
                              <a:cubicBezTo>
                                <a:pt x="929" y="291"/>
                                <a:pt x="913" y="274"/>
                                <a:pt x="893" y="245"/>
                              </a:cubicBezTo>
                              <a:cubicBezTo>
                                <a:pt x="872" y="217"/>
                                <a:pt x="860" y="199"/>
                                <a:pt x="855" y="191"/>
                              </a:cubicBezTo>
                              <a:cubicBezTo>
                                <a:pt x="834" y="157"/>
                                <a:pt x="834" y="157"/>
                                <a:pt x="834" y="157"/>
                              </a:cubicBezTo>
                              <a:cubicBezTo>
                                <a:pt x="851" y="148"/>
                                <a:pt x="864" y="136"/>
                                <a:pt x="873" y="122"/>
                              </a:cubicBezTo>
                              <a:cubicBezTo>
                                <a:pt x="882" y="108"/>
                                <a:pt x="887" y="93"/>
                                <a:pt x="887" y="78"/>
                              </a:cubicBezTo>
                              <a:cubicBezTo>
                                <a:pt x="887" y="64"/>
                                <a:pt x="884" y="53"/>
                                <a:pt x="879" y="44"/>
                              </a:cubicBezTo>
                              <a:cubicBezTo>
                                <a:pt x="874" y="34"/>
                                <a:pt x="866" y="27"/>
                                <a:pt x="856" y="21"/>
                              </a:cubicBezTo>
                              <a:cubicBezTo>
                                <a:pt x="846" y="16"/>
                                <a:pt x="836" y="13"/>
                                <a:pt x="826" y="12"/>
                              </a:cubicBezTo>
                              <a:cubicBezTo>
                                <a:pt x="816" y="11"/>
                                <a:pt x="800" y="10"/>
                                <a:pt x="778" y="10"/>
                              </a:cubicBezTo>
                              <a:cubicBezTo>
                                <a:pt x="692" y="10"/>
                                <a:pt x="692" y="10"/>
                                <a:pt x="692" y="10"/>
                              </a:cubicBezTo>
                              <a:cubicBezTo>
                                <a:pt x="692" y="14"/>
                                <a:pt x="692" y="14"/>
                                <a:pt x="692" y="14"/>
                              </a:cubicBezTo>
                              <a:cubicBezTo>
                                <a:pt x="702" y="14"/>
                                <a:pt x="708" y="16"/>
                                <a:pt x="710" y="22"/>
                              </a:cubicBezTo>
                              <a:cubicBezTo>
                                <a:pt x="712" y="27"/>
                                <a:pt x="713" y="33"/>
                                <a:pt x="713" y="41"/>
                              </a:cubicBezTo>
                              <a:cubicBezTo>
                                <a:pt x="713" y="283"/>
                                <a:pt x="713" y="283"/>
                                <a:pt x="713" y="283"/>
                              </a:cubicBezTo>
                              <a:cubicBezTo>
                                <a:pt x="713" y="295"/>
                                <a:pt x="712" y="302"/>
                                <a:pt x="710" y="306"/>
                              </a:cubicBezTo>
                              <a:cubicBezTo>
                                <a:pt x="707" y="310"/>
                                <a:pt x="702" y="312"/>
                                <a:pt x="692" y="312"/>
                              </a:cubicBezTo>
                              <a:cubicBezTo>
                                <a:pt x="692" y="316"/>
                                <a:pt x="692" y="316"/>
                                <a:pt x="692" y="316"/>
                              </a:cubicBezTo>
                              <a:cubicBezTo>
                                <a:pt x="770" y="316"/>
                                <a:pt x="770" y="316"/>
                                <a:pt x="770" y="316"/>
                              </a:cubicBezTo>
                              <a:cubicBezTo>
                                <a:pt x="770" y="312"/>
                                <a:pt x="770" y="312"/>
                                <a:pt x="770" y="312"/>
                              </a:cubicBezTo>
                              <a:cubicBezTo>
                                <a:pt x="761" y="312"/>
                                <a:pt x="755" y="310"/>
                                <a:pt x="752" y="306"/>
                              </a:cubicBezTo>
                              <a:cubicBezTo>
                                <a:pt x="750" y="302"/>
                                <a:pt x="749" y="295"/>
                                <a:pt x="749" y="286"/>
                              </a:cubicBezTo>
                              <a:cubicBezTo>
                                <a:pt x="749" y="169"/>
                                <a:pt x="749" y="169"/>
                                <a:pt x="749" y="169"/>
                              </a:cubicBezTo>
                              <a:cubicBezTo>
                                <a:pt x="773" y="169"/>
                                <a:pt x="773" y="169"/>
                                <a:pt x="773" y="169"/>
                              </a:cubicBezTo>
                              <a:cubicBezTo>
                                <a:pt x="801" y="168"/>
                                <a:pt x="801" y="168"/>
                                <a:pt x="801" y="168"/>
                              </a:cubicBezTo>
                              <a:cubicBezTo>
                                <a:pt x="831" y="216"/>
                                <a:pt x="831" y="216"/>
                                <a:pt x="831" y="216"/>
                              </a:cubicBezTo>
                              <a:cubicBezTo>
                                <a:pt x="831" y="216"/>
                                <a:pt x="831" y="216"/>
                                <a:pt x="832" y="216"/>
                              </a:cubicBezTo>
                              <a:cubicBezTo>
                                <a:pt x="863" y="264"/>
                                <a:pt x="885" y="292"/>
                                <a:pt x="898" y="303"/>
                              </a:cubicBezTo>
                              <a:cubicBezTo>
                                <a:pt x="911" y="314"/>
                                <a:pt x="923" y="316"/>
                                <a:pt x="941" y="316"/>
                              </a:cubicBezTo>
                              <a:cubicBezTo>
                                <a:pt x="941" y="316"/>
                                <a:pt x="942" y="316"/>
                                <a:pt x="943" y="316"/>
                              </a:cubicBezTo>
                              <a:cubicBezTo>
                                <a:pt x="943" y="316"/>
                                <a:pt x="943" y="316"/>
                                <a:pt x="943" y="316"/>
                              </a:cubicBezTo>
                              <a:cubicBezTo>
                                <a:pt x="1152" y="316"/>
                                <a:pt x="1152" y="316"/>
                                <a:pt x="1152" y="316"/>
                              </a:cubicBezTo>
                              <a:cubicBezTo>
                                <a:pt x="1152" y="274"/>
                                <a:pt x="1152" y="274"/>
                                <a:pt x="1152" y="274"/>
                              </a:cubicBezTo>
                              <a:lnTo>
                                <a:pt x="1149" y="274"/>
                              </a:lnTo>
                              <a:close/>
                              <a:moveTo>
                                <a:pt x="781" y="161"/>
                              </a:moveTo>
                              <a:cubicBezTo>
                                <a:pt x="749" y="161"/>
                                <a:pt x="749" y="161"/>
                                <a:pt x="749" y="161"/>
                              </a:cubicBezTo>
                              <a:cubicBezTo>
                                <a:pt x="749" y="19"/>
                                <a:pt x="749" y="19"/>
                                <a:pt x="749" y="19"/>
                              </a:cubicBezTo>
                              <a:cubicBezTo>
                                <a:pt x="774" y="19"/>
                                <a:pt x="774" y="19"/>
                                <a:pt x="774" y="19"/>
                              </a:cubicBezTo>
                              <a:cubicBezTo>
                                <a:pt x="804" y="19"/>
                                <a:pt x="825" y="27"/>
                                <a:pt x="837" y="44"/>
                              </a:cubicBezTo>
                              <a:cubicBezTo>
                                <a:pt x="849" y="60"/>
                                <a:pt x="855" y="78"/>
                                <a:pt x="855" y="97"/>
                              </a:cubicBezTo>
                              <a:cubicBezTo>
                                <a:pt x="855" y="116"/>
                                <a:pt x="849" y="131"/>
                                <a:pt x="837" y="143"/>
                              </a:cubicBezTo>
                              <a:cubicBezTo>
                                <a:pt x="824" y="155"/>
                                <a:pt x="806" y="161"/>
                                <a:pt x="781" y="161"/>
                              </a:cubicBezTo>
                              <a:close/>
                              <a:moveTo>
                                <a:pt x="511" y="21"/>
                              </a:moveTo>
                              <a:cubicBezTo>
                                <a:pt x="497" y="14"/>
                                <a:pt x="475" y="10"/>
                                <a:pt x="444" y="10"/>
                              </a:cubicBezTo>
                              <a:cubicBezTo>
                                <a:pt x="357" y="10"/>
                                <a:pt x="357" y="10"/>
                                <a:pt x="357" y="10"/>
                              </a:cubicBezTo>
                              <a:cubicBezTo>
                                <a:pt x="357" y="14"/>
                                <a:pt x="357" y="14"/>
                                <a:pt x="357" y="14"/>
                              </a:cubicBezTo>
                              <a:cubicBezTo>
                                <a:pt x="365" y="14"/>
                                <a:pt x="371" y="15"/>
                                <a:pt x="374" y="19"/>
                              </a:cubicBezTo>
                              <a:cubicBezTo>
                                <a:pt x="377" y="22"/>
                                <a:pt x="378" y="30"/>
                                <a:pt x="378" y="40"/>
                              </a:cubicBezTo>
                              <a:cubicBezTo>
                                <a:pt x="378" y="293"/>
                                <a:pt x="378" y="293"/>
                                <a:pt x="378" y="293"/>
                              </a:cubicBezTo>
                              <a:cubicBezTo>
                                <a:pt x="378" y="306"/>
                                <a:pt x="371" y="312"/>
                                <a:pt x="357" y="312"/>
                              </a:cubicBezTo>
                              <a:cubicBezTo>
                                <a:pt x="357" y="316"/>
                                <a:pt x="357" y="316"/>
                                <a:pt x="357" y="316"/>
                              </a:cubicBezTo>
                              <a:cubicBezTo>
                                <a:pt x="436" y="316"/>
                                <a:pt x="436" y="316"/>
                                <a:pt x="436" y="316"/>
                              </a:cubicBezTo>
                              <a:cubicBezTo>
                                <a:pt x="436" y="312"/>
                                <a:pt x="436" y="312"/>
                                <a:pt x="436" y="312"/>
                              </a:cubicBezTo>
                              <a:cubicBezTo>
                                <a:pt x="427" y="312"/>
                                <a:pt x="421" y="311"/>
                                <a:pt x="418" y="308"/>
                              </a:cubicBezTo>
                              <a:cubicBezTo>
                                <a:pt x="415" y="305"/>
                                <a:pt x="413" y="296"/>
                                <a:pt x="413" y="282"/>
                              </a:cubicBezTo>
                              <a:cubicBezTo>
                                <a:pt x="413" y="21"/>
                                <a:pt x="413" y="21"/>
                                <a:pt x="413" y="21"/>
                              </a:cubicBezTo>
                              <a:cubicBezTo>
                                <a:pt x="435" y="21"/>
                                <a:pt x="435" y="21"/>
                                <a:pt x="435" y="21"/>
                              </a:cubicBezTo>
                              <a:cubicBezTo>
                                <a:pt x="457" y="21"/>
                                <a:pt x="473" y="24"/>
                                <a:pt x="484" y="30"/>
                              </a:cubicBezTo>
                              <a:cubicBezTo>
                                <a:pt x="495" y="36"/>
                                <a:pt x="503" y="45"/>
                                <a:pt x="509" y="57"/>
                              </a:cubicBezTo>
                              <a:cubicBezTo>
                                <a:pt x="515" y="68"/>
                                <a:pt x="518" y="82"/>
                                <a:pt x="518" y="97"/>
                              </a:cubicBezTo>
                              <a:cubicBezTo>
                                <a:pt x="518" y="116"/>
                                <a:pt x="512" y="131"/>
                                <a:pt x="500" y="143"/>
                              </a:cubicBezTo>
                              <a:cubicBezTo>
                                <a:pt x="488" y="155"/>
                                <a:pt x="472" y="161"/>
                                <a:pt x="453" y="161"/>
                              </a:cubicBezTo>
                              <a:cubicBezTo>
                                <a:pt x="453" y="164"/>
                                <a:pt x="453" y="164"/>
                                <a:pt x="453" y="164"/>
                              </a:cubicBezTo>
                              <a:cubicBezTo>
                                <a:pt x="483" y="165"/>
                                <a:pt x="507" y="159"/>
                                <a:pt x="525" y="146"/>
                              </a:cubicBezTo>
                              <a:cubicBezTo>
                                <a:pt x="543" y="133"/>
                                <a:pt x="552" y="113"/>
                                <a:pt x="552" y="87"/>
                              </a:cubicBezTo>
                              <a:cubicBezTo>
                                <a:pt x="552" y="70"/>
                                <a:pt x="548" y="57"/>
                                <a:pt x="542" y="47"/>
                              </a:cubicBezTo>
                              <a:cubicBezTo>
                                <a:pt x="536" y="36"/>
                                <a:pt x="525" y="28"/>
                                <a:pt x="511" y="21"/>
                              </a:cubicBezTo>
                              <a:close/>
                              <a:moveTo>
                                <a:pt x="579" y="14"/>
                              </a:moveTo>
                              <a:cubicBezTo>
                                <a:pt x="589" y="13"/>
                                <a:pt x="595" y="15"/>
                                <a:pt x="598" y="20"/>
                              </a:cubicBezTo>
                              <a:cubicBezTo>
                                <a:pt x="601" y="24"/>
                                <a:pt x="602" y="34"/>
                                <a:pt x="602" y="48"/>
                              </a:cubicBezTo>
                              <a:cubicBezTo>
                                <a:pt x="602" y="280"/>
                                <a:pt x="602" y="280"/>
                                <a:pt x="602" y="280"/>
                              </a:cubicBezTo>
                              <a:cubicBezTo>
                                <a:pt x="602" y="294"/>
                                <a:pt x="601" y="302"/>
                                <a:pt x="599" y="306"/>
                              </a:cubicBezTo>
                              <a:cubicBezTo>
                                <a:pt x="596" y="310"/>
                                <a:pt x="590" y="312"/>
                                <a:pt x="579" y="312"/>
                              </a:cubicBezTo>
                              <a:cubicBezTo>
                                <a:pt x="579" y="316"/>
                                <a:pt x="579" y="316"/>
                                <a:pt x="579" y="316"/>
                              </a:cubicBezTo>
                              <a:cubicBezTo>
                                <a:pt x="661" y="316"/>
                                <a:pt x="661" y="316"/>
                                <a:pt x="661" y="316"/>
                              </a:cubicBezTo>
                              <a:cubicBezTo>
                                <a:pt x="661" y="312"/>
                                <a:pt x="661" y="312"/>
                                <a:pt x="661" y="312"/>
                              </a:cubicBezTo>
                              <a:cubicBezTo>
                                <a:pt x="653" y="312"/>
                                <a:pt x="648" y="311"/>
                                <a:pt x="645" y="309"/>
                              </a:cubicBezTo>
                              <a:cubicBezTo>
                                <a:pt x="642" y="308"/>
                                <a:pt x="640" y="305"/>
                                <a:pt x="639" y="302"/>
                              </a:cubicBezTo>
                              <a:cubicBezTo>
                                <a:pt x="638" y="300"/>
                                <a:pt x="638" y="292"/>
                                <a:pt x="638" y="279"/>
                              </a:cubicBezTo>
                              <a:cubicBezTo>
                                <a:pt x="638" y="45"/>
                                <a:pt x="638" y="45"/>
                                <a:pt x="638" y="45"/>
                              </a:cubicBezTo>
                              <a:cubicBezTo>
                                <a:pt x="638" y="33"/>
                                <a:pt x="638" y="26"/>
                                <a:pt x="639" y="23"/>
                              </a:cubicBezTo>
                              <a:cubicBezTo>
                                <a:pt x="640" y="20"/>
                                <a:pt x="643" y="17"/>
                                <a:pt x="648" y="16"/>
                              </a:cubicBezTo>
                              <a:cubicBezTo>
                                <a:pt x="652" y="14"/>
                                <a:pt x="657" y="13"/>
                                <a:pt x="661" y="14"/>
                              </a:cubicBezTo>
                              <a:cubicBezTo>
                                <a:pt x="661" y="10"/>
                                <a:pt x="661" y="10"/>
                                <a:pt x="661" y="10"/>
                              </a:cubicBezTo>
                              <a:cubicBezTo>
                                <a:pt x="579" y="10"/>
                                <a:pt x="579" y="10"/>
                                <a:pt x="579" y="10"/>
                              </a:cubicBezTo>
                              <a:lnTo>
                                <a:pt x="579" y="14"/>
                              </a:lnTo>
                              <a:close/>
                            </a:path>
                          </a:pathLst>
                        </a:custGeom>
                        <a:solidFill>
                          <a:srgbClr val="0067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3ECE0" id="Freeform 102" o:spid="_x0000_s1026" style="position:absolute;margin-left:0;margin-top:23.6pt;width:137.35pt;height:38.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15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" path="m91,80v2,-2,17,-17,20,-19c110,60,110,60,110,60v-4,-3,-5,-7,-5,-12c105,44,106,40,110,36v3,-3,7,-5,11,-5c126,31,130,33,133,36v,,42,42,44,44c197,61,197,61,197,61,194,59,153,17,153,17,135,,107,,90,17,81,25,77,37,77,48v,11,4,23,13,31c90,79,91,80,91,80xm134,48c132,51,90,93,87,95v2,2,18,17,20,19c154,68,154,68,154,68,152,66,136,50,134,48xm14,157v2,-2,17,-17,19,-19c33,138,32,137,32,137v-3,-3,-4,-7,-4,-12c28,125,28,125,28,125v,-4,1,-8,4,-11c36,110,40,109,44,109v5,,9,1,12,5c105,163,105,163,105,163v,,-16,16,-18,18c89,183,105,198,107,201v2,-3,35,-36,37,-38c142,161,75,94,75,94,67,86,56,81,44,81,32,81,21,86,13,94,4,103,,114,,125v,12,4,23,13,32c13,157,13,157,14,157xm261,114v1,,1,,1,c265,110,269,109,274,109v4,,9,1,12,5c289,117,291,121,291,125v,5,-2,9,-5,12c286,137,244,179,242,181v2,2,17,17,19,20c264,198,305,157,305,157v9,-9,13,-20,13,-32c318,114,314,103,305,94,297,86,286,81,274,81v-12,,-23,5,-31,13c243,94,242,94,242,95v2,2,17,17,19,19xm274,138c272,136,229,94,227,91v-2,2,-17,18,-19,20c210,113,252,155,254,157v2,-2,18,-17,20,-19xm44,188v3,2,45,44,47,47c111,215,111,215,111,215,108,213,66,171,64,168v-2,3,-18,18,-20,20xm185,36v3,-3,7,-5,12,-5c201,31,205,33,209,36v6,7,6,17,,24c159,109,159,109,159,109v,,-16,-16,-18,-18c139,93,124,109,122,111v2,2,35,35,37,37c161,146,228,79,228,79v9,-8,13,-20,13,-31c241,37,237,25,228,17,211,,183,,165,17v,,,,,1c167,20,182,35,184,37v,,1,-1,1,-1xm304,168v-2,3,-17,18,-19,20c285,188,286,189,286,189v3,3,5,7,5,12c291,205,289,209,286,212v-7,7,-17,7,-24,c213,163,213,163,213,163v,,16,-16,18,-18c229,143,213,128,211,125v-2,3,-35,36,-37,38c176,165,243,232,243,232v17,17,45,17,62,c314,223,318,212,318,201v,-12,-4,-23,-13,-32c305,169,305,169,304,168xm57,212v-1,,-1,,-1,c49,219,39,219,32,212v-3,-3,-4,-7,-4,-11c28,196,29,192,32,189v,,42,-42,44,-44c74,143,59,128,57,125v-2,3,-44,44,-44,44c4,178,,189,,201v,11,4,22,13,31c21,240,32,245,44,245v12,,23,-5,31,-13c75,232,76,231,76,231,74,229,59,214,57,212xm227,246v-2,2,-17,17,-19,19c208,266,209,266,209,266v3,3,4,8,4,12c213,282,212,286,209,290v-7,6,-18,6,-24,c185,290,143,248,141,246v-2,2,-17,17,-19,19c124,267,165,309,165,309v9,8,20,13,32,13c197,322,197,322,197,322v12,,23,-5,31,-13c236,301,241,290,241,278v,-12,-5,-23,-13,-31c228,247,228,246,227,246xm165,258v2,2,17,18,19,20c186,275,228,233,231,231v-2,-2,-18,-17,-20,-19c209,214,167,256,165,258xm133,290v-6,6,-17,6,-23,c106,286,105,282,105,278v,-5,1,-9,5,-12c159,217,159,217,159,217v,,16,16,18,18c179,233,195,217,197,215v-3,-2,-36,-35,-38,-37c157,180,90,247,90,247v-9,8,-13,20,-13,31c77,289,81,300,90,309v8,8,20,13,31,13c133,322,144,317,153,309v,,,,1,-1c134,289,134,289,134,289v,,-1,1,-1,1xm1149,274v-2,12,-5,19,-8,23c1138,300,1134,303,1129,304v-5,1,-16,2,-33,2c1042,306,1042,306,1042,306v-11,,-20,-1,-26,-3c1011,302,1006,298,1004,291v-3,-6,-4,-16,-4,-30c1000,166,1000,166,1000,166v96,,96,,96,c1103,166,1108,167,1110,168v3,1,4,4,5,8c1118,176,1118,176,1118,176v,-28,,-28,,-28c1115,148,1115,148,1115,148v,3,-1,5,-4,7c1109,157,1103,158,1093,158v-93,,-93,,-93,c1000,21,1000,21,1000,21v101,,101,,101,c1112,21,1119,22,1122,25v3,3,6,12,10,28c1136,53,1136,53,1136,53v,-43,,-43,,-43c943,10,943,10,943,10v,4,,4,,4c953,14,960,16,962,21v1,4,2,12,2,23c964,291,964,291,964,291v,6,-1,11,-2,14c954,304,947,301,940,297v-11,-6,-27,-23,-47,-52c872,217,860,199,855,191,834,157,834,157,834,157v17,-9,30,-21,39,-35c882,108,887,93,887,78v,-14,-3,-25,-8,-34c874,34,866,27,856,21,846,16,836,13,826,12,816,11,800,10,778,10v-86,,-86,,-86,c692,14,692,14,692,14v10,,16,2,18,8c712,27,713,33,713,41v,242,,242,,242c713,295,712,302,710,306v-3,4,-8,6,-18,6c692,316,692,316,692,316v78,,78,,78,c770,312,770,312,770,312v-9,,-15,-2,-18,-6c750,302,749,295,749,286v,-117,,-117,,-117c773,169,773,169,773,169v28,-1,28,-1,28,-1c831,216,831,216,831,216v,,,,1,c863,264,885,292,898,303v13,11,25,13,43,13c941,316,942,316,943,316v,,,,,c1152,316,1152,316,1152,316v,-42,,-42,,-42l1149,274xm781,161v-32,,-32,,-32,c749,19,749,19,749,19v25,,25,,25,c804,19,825,27,837,44v12,16,18,34,18,53c855,116,849,131,837,143v-13,12,-31,18,-56,18xm511,21c497,14,475,10,444,10v-87,,-87,,-87,c357,14,357,14,357,14v8,,14,1,17,5c377,22,378,30,378,40v,253,,253,,253c378,306,371,312,357,312v,4,,4,,4c436,316,436,316,436,316v,-4,,-4,,-4c427,312,421,311,418,308v-3,-3,-5,-12,-5,-26c413,21,413,21,413,21v22,,22,,22,c457,21,473,24,484,30v11,6,19,15,25,27c515,68,518,82,518,97v,19,-6,34,-18,46c488,155,472,161,453,161v,3,,3,,3c483,165,507,159,525,146v18,-13,27,-33,27,-59c552,70,548,57,542,47,536,36,525,28,511,21xm579,14v10,-1,16,1,19,6c601,24,602,34,602,48v,232,,232,,232c602,294,601,302,599,306v-3,4,-9,6,-20,6c579,316,579,316,579,316v82,,82,,82,c661,312,661,312,661,312v-8,,-13,-1,-16,-3c642,308,640,305,639,302v-1,-2,-1,-10,-1,-23c638,45,638,45,638,45v,-12,,-19,1,-22c640,20,643,17,648,16v4,-2,9,-3,13,-2c661,10,661,10,661,10v-82,,-82,,-82,l579,14xe" fillcolor="#00678f" stroked="f">
                <v:path arrowok="t" o:connecttype="custom" o:connectlocs="166583,54396;231702,25687;202928,72527;21201,237225;48461,172253;162040,303709;0,188873;414943,164698;395256,303709;367997,142033;314993,167720;168097,324862;316508,54396;240788,223626;249875,27198;433116,285577;349824,219093;481576,303709;48461,320329;19687,255357;115094,349038;322565,420055;249875,466895;345281,373214;319537,320329;166583,401923;136295,373214;233216,465384;1709748,459340;1514391,394368;1693090,265934;1514391,238736;1720349,80082;1459873,66483;1294805,288599;1296319,31731;1075218,33242;1047959,477472;1134279,255357;1359924,457829;1744579,414011;1172139,28709;773854,31731;572440,60440;660275,471428;732965,45330;686019,247802;876833,21154;876833,471428;967696,456318;1001013,21154" o:connectangles="0,0,0,0,0,0,0,0,0,0,0,0,0,0,0,0,0,0,0,0,0,0,0,0,0,0,0,0,0,0,0,0,0,0,0,0,0,0,0,0,0,0,0,0,0,0,0,0,0,0,0"/>
                <o:lock v:ext="edit" verticies="t"/>
                <w10:wrap anchorx="margin"/>
              </v:shape>
            </w:pict>
          </mc:Fallback>
        </mc:AlternateContent>
      </w:r>
    </w:p>
    <w:p w14:paraId="67FBFA0A" w14:textId="77777777" w:rsidR="000F7C82" w:rsidRPr="000F7C82" w:rsidRDefault="000F7C82" w:rsidP="000F7C82">
      <w:pPr>
        <w:rPr>
          <w:rFonts w:ascii="Arial" w:hAnsi="Arial" w:cs="Arial"/>
          <w:b/>
          <w:sz w:val="24"/>
          <w:szCs w:val="24"/>
        </w:rPr>
        <w:sectPr w:rsidR="000F7C82" w:rsidRPr="000F7C82" w:rsidSect="001E7FA8">
          <w:footerReference w:type="default" r:id="rId8"/>
          <w:pgSz w:w="12240" w:h="15840"/>
          <w:pgMar w:top="1152"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48B44C11" w14:textId="77777777" w:rsidR="000F7C82" w:rsidRPr="002B02CD" w:rsidRDefault="000F7C82" w:rsidP="000F7C82">
      <w:pPr>
        <w:jc w:val="center"/>
        <w:rPr>
          <w:rFonts w:ascii="Arial" w:eastAsia="Times New Roman" w:hAnsi="Arial" w:cs="Arial"/>
          <w:b/>
          <w:i/>
          <w:iCs/>
          <w:color w:val="000000"/>
        </w:rPr>
      </w:pPr>
      <w:r w:rsidRPr="002B02CD">
        <w:rPr>
          <w:rFonts w:ascii="Arial" w:eastAsia="Times New Roman" w:hAnsi="Arial" w:cs="Arial"/>
          <w:b/>
          <w:i/>
          <w:iCs/>
          <w:color w:val="000000"/>
        </w:rPr>
        <w:lastRenderedPageBreak/>
        <w:t>Acknowledgements</w:t>
      </w:r>
    </w:p>
    <w:p w14:paraId="47D6FA5F" w14:textId="77777777" w:rsidR="000F7C82" w:rsidRPr="002B02CD" w:rsidRDefault="000F7C82" w:rsidP="000F7C82">
      <w:pPr>
        <w:rPr>
          <w:rFonts w:ascii="Arial" w:eastAsia="Times New Roman" w:hAnsi="Arial" w:cs="Arial"/>
          <w:color w:val="000000"/>
        </w:rPr>
      </w:pPr>
    </w:p>
    <w:p w14:paraId="1D4FF252" w14:textId="77777777" w:rsidR="000F7C82" w:rsidRPr="002B02CD" w:rsidRDefault="000F7C82" w:rsidP="000F7C82">
      <w:pPr>
        <w:rPr>
          <w:rFonts w:ascii="Arial" w:eastAsia="Times New Roman" w:hAnsi="Arial" w:cs="Arial"/>
          <w:color w:val="000000"/>
        </w:rPr>
      </w:pPr>
    </w:p>
    <w:p w14:paraId="1F0FE52B" w14:textId="77777777" w:rsidR="000F7C82" w:rsidRPr="002B02CD" w:rsidRDefault="000F7C82" w:rsidP="000F7C82">
      <w:pPr>
        <w:rPr>
          <w:rFonts w:ascii="Arial" w:hAnsi="Arial" w:cs="Arial"/>
          <w:color w:val="000000"/>
        </w:rPr>
      </w:pPr>
      <w:r w:rsidRPr="002B02CD">
        <w:rPr>
          <w:rFonts w:ascii="Arial" w:hAnsi="Arial" w:cs="Arial"/>
          <w:color w:val="000000"/>
        </w:rPr>
        <w:t>This report was prepared by the Pacific Institute for Research and Evaluation (PIRE) for the Vermont Department of Health, Division of Alcohol and Drug Abuse Programs (</w:t>
      </w:r>
      <w:smartTag w:uri="urn:schemas-microsoft-com:office:smarttags" w:element="stockticker">
        <w:r w:rsidRPr="002B02CD">
          <w:rPr>
            <w:rFonts w:ascii="Arial" w:hAnsi="Arial" w:cs="Arial"/>
            <w:color w:val="000000"/>
          </w:rPr>
          <w:t>ADAP</w:t>
        </w:r>
      </w:smartTag>
      <w:r w:rsidRPr="002B02CD">
        <w:rPr>
          <w:rFonts w:ascii="Arial" w:hAnsi="Arial" w:cs="Arial"/>
          <w:color w:val="000000"/>
        </w:rPr>
        <w:t xml:space="preserve">).  </w:t>
      </w:r>
      <w:r w:rsidR="001C6AAA" w:rsidRPr="002B02CD">
        <w:rPr>
          <w:rFonts w:ascii="Arial" w:hAnsi="Arial" w:cs="Arial"/>
          <w:color w:val="000000"/>
        </w:rPr>
        <w:t xml:space="preserve">Contributing authors were Bob Flewelling, Amy Livingston, and Sean Hanley. </w:t>
      </w:r>
      <w:r w:rsidR="00EA0439" w:rsidRPr="002B02CD">
        <w:rPr>
          <w:rFonts w:ascii="Arial" w:hAnsi="Arial" w:cs="Arial"/>
          <w:color w:val="000000"/>
        </w:rPr>
        <w:t xml:space="preserve"> </w:t>
      </w:r>
      <w:r w:rsidRPr="002B02CD">
        <w:rPr>
          <w:rFonts w:ascii="Arial" w:hAnsi="Arial" w:cs="Arial"/>
          <w:color w:val="000000"/>
        </w:rPr>
        <w:t xml:space="preserve">The evaluation of Vermont’s Partnerships for Success (PFS II) grant was conducted by PIRE, with oversight and consultation provided by </w:t>
      </w:r>
      <w:smartTag w:uri="urn:schemas-microsoft-com:office:smarttags" w:element="stockticker">
        <w:r w:rsidRPr="002B02CD">
          <w:rPr>
            <w:rFonts w:ascii="Arial" w:hAnsi="Arial" w:cs="Arial"/>
            <w:color w:val="000000"/>
          </w:rPr>
          <w:t>ADAP</w:t>
        </w:r>
      </w:smartTag>
      <w:r w:rsidRPr="002B02CD">
        <w:rPr>
          <w:rFonts w:ascii="Arial" w:hAnsi="Arial" w:cs="Arial"/>
          <w:color w:val="000000"/>
        </w:rPr>
        <w:t xml:space="preserve">’s Manager of Prevention Services Lori Uerz, and Director of Community Services and Planning Marcia LaPlante.  Kristen Murray in the Department of Health’s Surveillance Unit provided access to the Vermont YRBS data files and consultation regarding their contents.  John Searles and other members of Vermont’s State Epidemiological Outcomes Workgroup provided helpful suggestions regarding the items developed for the Vermont Young Adult Survey.  The insights and information provided by lead agency and community partner representatives, Health District Office Directors, and </w:t>
      </w:r>
      <w:smartTag w:uri="urn:schemas-microsoft-com:office:smarttags" w:element="stockticker">
        <w:r w:rsidRPr="002B02CD">
          <w:rPr>
            <w:rFonts w:ascii="Arial" w:hAnsi="Arial" w:cs="Arial"/>
            <w:color w:val="000000"/>
          </w:rPr>
          <w:t>ADAP</w:t>
        </w:r>
      </w:smartTag>
      <w:r w:rsidRPr="002B02CD">
        <w:rPr>
          <w:rFonts w:ascii="Arial" w:hAnsi="Arial" w:cs="Arial"/>
          <w:color w:val="000000"/>
        </w:rPr>
        <w:t xml:space="preserve"> Prevention Consultants, are also gratefully acknowledged.  </w:t>
      </w:r>
    </w:p>
    <w:p w14:paraId="3FD770FF" w14:textId="77777777" w:rsidR="000F7C82" w:rsidRPr="002B02CD" w:rsidRDefault="000F7C82" w:rsidP="000F7C82">
      <w:pPr>
        <w:rPr>
          <w:rFonts w:ascii="Arial" w:hAnsi="Arial" w:cs="Arial"/>
          <w:color w:val="000000"/>
        </w:rPr>
      </w:pPr>
    </w:p>
    <w:p w14:paraId="4716C053" w14:textId="77777777" w:rsidR="000F7C82" w:rsidRPr="002B02CD" w:rsidRDefault="009478E1" w:rsidP="000F7C82">
      <w:pPr>
        <w:rPr>
          <w:rFonts w:ascii="Arial" w:hAnsi="Arial" w:cs="Arial"/>
          <w:color w:val="000000"/>
        </w:rPr>
      </w:pPr>
      <w:r>
        <w:rPr>
          <w:rFonts w:ascii="Arial" w:hAnsi="Arial" w:cs="Arial"/>
          <w:color w:val="000000"/>
        </w:rPr>
        <w:t>The f</w:t>
      </w:r>
      <w:r w:rsidR="000F7C82" w:rsidRPr="002B02CD">
        <w:rPr>
          <w:rFonts w:ascii="Arial" w:hAnsi="Arial" w:cs="Arial"/>
          <w:color w:val="000000"/>
        </w:rPr>
        <w:t xml:space="preserve">unding </w:t>
      </w:r>
      <w:r>
        <w:rPr>
          <w:rFonts w:ascii="Arial" w:hAnsi="Arial" w:cs="Arial"/>
          <w:color w:val="000000"/>
        </w:rPr>
        <w:t xml:space="preserve">source </w:t>
      </w:r>
      <w:r w:rsidR="000F7C82" w:rsidRPr="002B02CD">
        <w:rPr>
          <w:rFonts w:ascii="Arial" w:hAnsi="Arial" w:cs="Arial"/>
          <w:color w:val="000000"/>
        </w:rPr>
        <w:t xml:space="preserve">for </w:t>
      </w:r>
      <w:r>
        <w:rPr>
          <w:rFonts w:ascii="Arial" w:hAnsi="Arial" w:cs="Arial"/>
          <w:color w:val="000000"/>
        </w:rPr>
        <w:t xml:space="preserve">PIRE’s </w:t>
      </w:r>
      <w:r w:rsidR="000F7C82" w:rsidRPr="002B02CD">
        <w:rPr>
          <w:rFonts w:ascii="Arial" w:hAnsi="Arial" w:cs="Arial"/>
          <w:color w:val="000000"/>
        </w:rPr>
        <w:t xml:space="preserve">evaluation </w:t>
      </w:r>
      <w:r>
        <w:rPr>
          <w:rFonts w:ascii="Arial" w:hAnsi="Arial" w:cs="Arial"/>
          <w:color w:val="000000"/>
        </w:rPr>
        <w:t>contract was the</w:t>
      </w:r>
      <w:r w:rsidR="000F7C82" w:rsidRPr="002B02CD">
        <w:rPr>
          <w:rFonts w:ascii="Arial" w:hAnsi="Arial" w:cs="Arial"/>
          <w:color w:val="000000"/>
        </w:rPr>
        <w:t xml:space="preserve"> Partnerships for Success </w:t>
      </w:r>
      <w:r w:rsidR="001C6AAA" w:rsidRPr="002B02CD">
        <w:rPr>
          <w:rFonts w:ascii="Arial" w:hAnsi="Arial" w:cs="Arial"/>
          <w:color w:val="000000"/>
        </w:rPr>
        <w:t xml:space="preserve">II </w:t>
      </w:r>
      <w:r w:rsidR="000F7C82" w:rsidRPr="002B02CD">
        <w:rPr>
          <w:rFonts w:ascii="Arial" w:hAnsi="Arial" w:cs="Arial"/>
          <w:color w:val="000000"/>
        </w:rPr>
        <w:t xml:space="preserve">grant awarded to the Vermont Department of Health by the federal Substance Abuse and Mental Health Services Administration (SAMHSA).  An accompanying technical appendix with additional details regarding the methodology and findings of the evaluation has been submitted as a separate document to </w:t>
      </w:r>
      <w:smartTag w:uri="urn:schemas-microsoft-com:office:smarttags" w:element="stockticker">
        <w:r w:rsidR="000F7C82" w:rsidRPr="002B02CD">
          <w:rPr>
            <w:rFonts w:ascii="Arial" w:hAnsi="Arial" w:cs="Arial"/>
            <w:color w:val="000000"/>
          </w:rPr>
          <w:t>ADAP</w:t>
        </w:r>
      </w:smartTag>
      <w:r w:rsidR="000F7C82" w:rsidRPr="002B02CD">
        <w:rPr>
          <w:rFonts w:ascii="Arial" w:hAnsi="Arial" w:cs="Arial"/>
          <w:color w:val="000000"/>
        </w:rPr>
        <w:t xml:space="preserve">. </w:t>
      </w:r>
    </w:p>
    <w:p w14:paraId="4EDD1A40"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18"/>
          <w:szCs w:val="18"/>
        </w:rPr>
      </w:pPr>
    </w:p>
    <w:p w14:paraId="1344EAE2"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55F3AD94"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0056D991"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1EE53824"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5AA773DA"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651451F4"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5798DCB9"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1E58924E"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46F17FCB"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39C07732"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27A99AF3"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30AA1154"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07678E13"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2AC2181D"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7323E6A0"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43537D03"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74EFC3B6"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2D342557"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448936C6"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5F071E4C"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2F2237AE" w14:textId="77777777" w:rsidR="000F7C82" w:rsidRP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4EBEE188" w14:textId="77777777" w:rsidR="000F7C82" w:rsidRDefault="000F7C82" w:rsidP="000F7C82">
      <w:pPr>
        <w:widowControl w:val="0"/>
        <w:autoSpaceDE w:val="0"/>
        <w:autoSpaceDN w:val="0"/>
        <w:adjustRightInd w:val="0"/>
        <w:outlineLvl w:val="0"/>
        <w:rPr>
          <w:rFonts w:ascii="Arial" w:eastAsia="Times New Roman" w:hAnsi="Arial" w:cs="Arial"/>
          <w:color w:val="000000"/>
          <w:sz w:val="24"/>
          <w:szCs w:val="24"/>
        </w:rPr>
      </w:pPr>
    </w:p>
    <w:p w14:paraId="0BDEF7A6" w14:textId="77777777" w:rsidR="002B02CD" w:rsidRDefault="002B02CD" w:rsidP="000F7C82">
      <w:pPr>
        <w:widowControl w:val="0"/>
        <w:autoSpaceDE w:val="0"/>
        <w:autoSpaceDN w:val="0"/>
        <w:adjustRightInd w:val="0"/>
        <w:outlineLvl w:val="0"/>
        <w:rPr>
          <w:rFonts w:ascii="Arial" w:eastAsia="Times New Roman" w:hAnsi="Arial" w:cs="Arial"/>
          <w:color w:val="000000"/>
          <w:sz w:val="24"/>
          <w:szCs w:val="24"/>
        </w:rPr>
      </w:pPr>
    </w:p>
    <w:p w14:paraId="03CF5B99" w14:textId="77777777" w:rsidR="002B02CD" w:rsidRPr="000F7C82" w:rsidRDefault="002B02CD" w:rsidP="000F7C82">
      <w:pPr>
        <w:widowControl w:val="0"/>
        <w:autoSpaceDE w:val="0"/>
        <w:autoSpaceDN w:val="0"/>
        <w:adjustRightInd w:val="0"/>
        <w:outlineLvl w:val="0"/>
        <w:rPr>
          <w:rFonts w:ascii="Arial" w:eastAsia="Times New Roman" w:hAnsi="Arial" w:cs="Arial"/>
          <w:color w:val="000000"/>
          <w:sz w:val="24"/>
          <w:szCs w:val="24"/>
        </w:rPr>
      </w:pPr>
    </w:p>
    <w:p w14:paraId="44F9AA37" w14:textId="77777777" w:rsidR="000F7C82" w:rsidRPr="002B02CD" w:rsidRDefault="000F7C82" w:rsidP="000F7C82">
      <w:pPr>
        <w:jc w:val="center"/>
        <w:rPr>
          <w:rFonts w:ascii="Arial" w:eastAsia="Times New Roman" w:hAnsi="Arial" w:cs="Arial"/>
          <w:i/>
          <w:color w:val="000000"/>
        </w:rPr>
      </w:pPr>
      <w:r w:rsidRPr="002B02CD">
        <w:rPr>
          <w:rFonts w:ascii="Arial" w:eastAsia="Times New Roman" w:hAnsi="Arial" w:cs="Arial"/>
          <w:i/>
          <w:color w:val="000000"/>
        </w:rPr>
        <w:t xml:space="preserve">If you have questions regarding the findings presented here, </w:t>
      </w:r>
      <w:r w:rsidR="002B02CD">
        <w:rPr>
          <w:rFonts w:ascii="Arial" w:eastAsia="Times New Roman" w:hAnsi="Arial" w:cs="Arial"/>
          <w:i/>
          <w:color w:val="000000"/>
        </w:rPr>
        <w:t>please</w:t>
      </w:r>
    </w:p>
    <w:p w14:paraId="3903CB36" w14:textId="77777777" w:rsidR="000F7C82" w:rsidRPr="002B02CD" w:rsidRDefault="002B02CD" w:rsidP="000F7C82">
      <w:pPr>
        <w:jc w:val="center"/>
        <w:rPr>
          <w:rFonts w:ascii="Arial" w:eastAsia="Times New Roman" w:hAnsi="Arial" w:cs="Arial"/>
          <w:i/>
          <w:iCs/>
          <w:color w:val="000000"/>
        </w:rPr>
      </w:pPr>
      <w:r>
        <w:rPr>
          <w:rFonts w:ascii="Arial" w:eastAsia="Times New Roman" w:hAnsi="Arial" w:cs="Arial"/>
          <w:i/>
          <w:color w:val="000000"/>
        </w:rPr>
        <w:t xml:space="preserve">contact </w:t>
      </w:r>
      <w:r w:rsidR="000F7C82" w:rsidRPr="002B02CD">
        <w:rPr>
          <w:rFonts w:ascii="Arial" w:eastAsia="Times New Roman" w:hAnsi="Arial" w:cs="Arial"/>
          <w:i/>
          <w:color w:val="000000"/>
        </w:rPr>
        <w:t>Amy Livingston at</w:t>
      </w:r>
      <w:r>
        <w:rPr>
          <w:rFonts w:ascii="Arial" w:eastAsia="Times New Roman" w:hAnsi="Arial" w:cs="Arial"/>
          <w:i/>
          <w:color w:val="000000"/>
        </w:rPr>
        <w:t xml:space="preserve"> </w:t>
      </w:r>
      <w:r w:rsidR="000F7C82" w:rsidRPr="002B02CD">
        <w:rPr>
          <w:rFonts w:ascii="Arial" w:eastAsia="Times New Roman" w:hAnsi="Arial" w:cs="Arial"/>
          <w:i/>
          <w:color w:val="000000"/>
        </w:rPr>
        <w:t xml:space="preserve">802-652-4111, or </w:t>
      </w:r>
      <w:hyperlink r:id="rId9" w:history="1">
        <w:r w:rsidR="000F7C82" w:rsidRPr="002B02CD">
          <w:rPr>
            <w:rFonts w:ascii="Arial" w:eastAsia="Times New Roman" w:hAnsi="Arial" w:cs="Arial"/>
            <w:i/>
            <w:color w:val="0000FF"/>
            <w:u w:val="single"/>
          </w:rPr>
          <w:t>alivingston@pire.org</w:t>
        </w:r>
      </w:hyperlink>
      <w:r w:rsidR="000F7C82" w:rsidRPr="002B02CD">
        <w:rPr>
          <w:rFonts w:ascii="Arial" w:eastAsia="Times New Roman" w:hAnsi="Arial" w:cs="Arial"/>
          <w:i/>
          <w:color w:val="000000"/>
        </w:rPr>
        <w:t>.</w:t>
      </w:r>
    </w:p>
    <w:p w14:paraId="6197982D" w14:textId="77777777" w:rsidR="000F7C82" w:rsidRPr="000F7C82" w:rsidRDefault="000F7C82" w:rsidP="000F7C82">
      <w:pPr>
        <w:tabs>
          <w:tab w:val="right" w:leader="dot" w:pos="9350"/>
        </w:tabs>
        <w:spacing w:after="100" w:line="276" w:lineRule="auto"/>
        <w:ind w:right="288"/>
        <w:jc w:val="center"/>
        <w:rPr>
          <w:rFonts w:ascii="Arial" w:hAnsi="Arial" w:cs="Arial"/>
          <w:b/>
          <w:sz w:val="24"/>
          <w:szCs w:val="24"/>
        </w:rPr>
        <w:sectPr w:rsidR="000F7C82" w:rsidRPr="000F7C82" w:rsidSect="001E7FA8">
          <w:pgSz w:w="12240" w:h="15840"/>
          <w:pgMar w:top="1152" w:right="1440" w:bottom="720" w:left="1440" w:header="720" w:footer="720" w:gutter="0"/>
          <w:cols w:space="720"/>
          <w:docGrid w:linePitch="360"/>
        </w:sectPr>
      </w:pPr>
    </w:p>
    <w:p w14:paraId="0FB5F415" w14:textId="77777777" w:rsidR="000F7C82" w:rsidRPr="002B02CD" w:rsidRDefault="000F7C82" w:rsidP="000F7C82">
      <w:pPr>
        <w:tabs>
          <w:tab w:val="right" w:leader="dot" w:pos="9350"/>
        </w:tabs>
        <w:spacing w:after="100" w:line="276" w:lineRule="auto"/>
        <w:ind w:right="288"/>
        <w:jc w:val="center"/>
        <w:rPr>
          <w:rFonts w:ascii="Arial" w:hAnsi="Arial" w:cs="Arial"/>
          <w:b/>
        </w:rPr>
      </w:pPr>
      <w:r w:rsidRPr="002B02CD">
        <w:rPr>
          <w:rFonts w:ascii="Arial" w:hAnsi="Arial" w:cs="Arial"/>
          <w:b/>
        </w:rPr>
        <w:lastRenderedPageBreak/>
        <w:t>Table of Contents</w:t>
      </w:r>
    </w:p>
    <w:p w14:paraId="52617529" w14:textId="77777777" w:rsidR="000F7C82" w:rsidRPr="000F7C82" w:rsidRDefault="000F7C82" w:rsidP="000F7C82">
      <w:pPr>
        <w:keepNext/>
        <w:keepLines/>
        <w:outlineLvl w:val="0"/>
        <w:rPr>
          <w:rFonts w:ascii="CG Times" w:eastAsia="Times New Roman" w:hAnsi="CG Times" w:cs="Times New Roman"/>
          <w:bCs/>
          <w:snapToGrid w:val="0"/>
          <w:color w:val="365F91"/>
          <w:sz w:val="24"/>
          <w:szCs w:val="20"/>
        </w:rPr>
      </w:pPr>
    </w:p>
    <w:p w14:paraId="7FD8942F" w14:textId="77777777" w:rsidR="00D27497" w:rsidRDefault="00D27497" w:rsidP="00D27497">
      <w:pPr>
        <w:pStyle w:val="TOC1"/>
        <w:rPr>
          <w:noProof/>
        </w:rPr>
      </w:pPr>
      <w:r>
        <w:rPr>
          <w:rFonts w:cs="Times New Roman"/>
        </w:rPr>
        <w:fldChar w:fldCharType="begin"/>
      </w:r>
      <w:r>
        <w:rPr>
          <w:rFonts w:cs="Times New Roman"/>
        </w:rPr>
        <w:instrText xml:space="preserve"> TOC \h \z \t "H1,1,H2,2" </w:instrText>
      </w:r>
      <w:r>
        <w:rPr>
          <w:rFonts w:cs="Times New Roman"/>
        </w:rPr>
        <w:fldChar w:fldCharType="separate"/>
      </w:r>
      <w:hyperlink w:anchor="_Toc470697735" w:history="1">
        <w:r w:rsidRPr="004A7C66">
          <w:rPr>
            <w:rStyle w:val="Hyperlink"/>
            <w:noProof/>
          </w:rPr>
          <w:t>A.</w:t>
        </w:r>
        <w:r>
          <w:rPr>
            <w:noProof/>
          </w:rPr>
          <w:tab/>
        </w:r>
        <w:r w:rsidRPr="004A7C66">
          <w:rPr>
            <w:rStyle w:val="Hyperlink"/>
            <w:noProof/>
          </w:rPr>
          <w:t>Background</w:t>
        </w:r>
        <w:r>
          <w:rPr>
            <w:noProof/>
            <w:webHidden/>
          </w:rPr>
          <w:tab/>
        </w:r>
        <w:r>
          <w:rPr>
            <w:noProof/>
            <w:webHidden/>
          </w:rPr>
          <w:fldChar w:fldCharType="begin"/>
        </w:r>
        <w:r>
          <w:rPr>
            <w:noProof/>
            <w:webHidden/>
          </w:rPr>
          <w:instrText xml:space="preserve"> PAGEREF _Toc470697735 \h </w:instrText>
        </w:r>
        <w:r>
          <w:rPr>
            <w:noProof/>
            <w:webHidden/>
          </w:rPr>
        </w:r>
        <w:r>
          <w:rPr>
            <w:noProof/>
            <w:webHidden/>
          </w:rPr>
          <w:fldChar w:fldCharType="separate"/>
        </w:r>
        <w:r w:rsidR="0010448A">
          <w:rPr>
            <w:noProof/>
            <w:webHidden/>
          </w:rPr>
          <w:t>1</w:t>
        </w:r>
        <w:r>
          <w:rPr>
            <w:noProof/>
            <w:webHidden/>
          </w:rPr>
          <w:fldChar w:fldCharType="end"/>
        </w:r>
      </w:hyperlink>
    </w:p>
    <w:p w14:paraId="32B9DDAA" w14:textId="77777777" w:rsidR="00D27497" w:rsidRDefault="00835FA5">
      <w:pPr>
        <w:pStyle w:val="TOC2"/>
        <w:tabs>
          <w:tab w:val="right" w:leader="dot" w:pos="9350"/>
        </w:tabs>
        <w:rPr>
          <w:noProof/>
        </w:rPr>
      </w:pPr>
      <w:hyperlink w:anchor="_Toc470697736" w:history="1">
        <w:r w:rsidR="00D27497" w:rsidRPr="004A7C66">
          <w:rPr>
            <w:rStyle w:val="Hyperlink"/>
            <w:noProof/>
          </w:rPr>
          <w:t>PFS project objectives</w:t>
        </w:r>
        <w:r w:rsidR="00D27497">
          <w:rPr>
            <w:noProof/>
            <w:webHidden/>
          </w:rPr>
          <w:tab/>
        </w:r>
        <w:r w:rsidR="00D27497">
          <w:rPr>
            <w:noProof/>
            <w:webHidden/>
          </w:rPr>
          <w:fldChar w:fldCharType="begin"/>
        </w:r>
        <w:r w:rsidR="00D27497">
          <w:rPr>
            <w:noProof/>
            <w:webHidden/>
          </w:rPr>
          <w:instrText xml:space="preserve"> PAGEREF _Toc470697736 \h </w:instrText>
        </w:r>
        <w:r w:rsidR="00D27497">
          <w:rPr>
            <w:noProof/>
            <w:webHidden/>
          </w:rPr>
        </w:r>
        <w:r w:rsidR="00D27497">
          <w:rPr>
            <w:noProof/>
            <w:webHidden/>
          </w:rPr>
          <w:fldChar w:fldCharType="separate"/>
        </w:r>
        <w:r w:rsidR="0010448A">
          <w:rPr>
            <w:noProof/>
            <w:webHidden/>
          </w:rPr>
          <w:t>1</w:t>
        </w:r>
        <w:r w:rsidR="00D27497">
          <w:rPr>
            <w:noProof/>
            <w:webHidden/>
          </w:rPr>
          <w:fldChar w:fldCharType="end"/>
        </w:r>
      </w:hyperlink>
    </w:p>
    <w:p w14:paraId="1F798FB6" w14:textId="77777777" w:rsidR="00D27497" w:rsidRDefault="00835FA5">
      <w:pPr>
        <w:pStyle w:val="TOC2"/>
        <w:tabs>
          <w:tab w:val="right" w:leader="dot" w:pos="9350"/>
        </w:tabs>
        <w:rPr>
          <w:noProof/>
        </w:rPr>
      </w:pPr>
      <w:hyperlink w:anchor="_Toc470697737" w:history="1">
        <w:r w:rsidR="00D27497" w:rsidRPr="004A7C66">
          <w:rPr>
            <w:rStyle w:val="Hyperlink"/>
            <w:noProof/>
          </w:rPr>
          <w:t>Allocation of grant funds</w:t>
        </w:r>
        <w:r w:rsidR="00D27497">
          <w:rPr>
            <w:noProof/>
            <w:webHidden/>
          </w:rPr>
          <w:tab/>
        </w:r>
        <w:r w:rsidR="00D27497">
          <w:rPr>
            <w:noProof/>
            <w:webHidden/>
          </w:rPr>
          <w:fldChar w:fldCharType="begin"/>
        </w:r>
        <w:r w:rsidR="00D27497">
          <w:rPr>
            <w:noProof/>
            <w:webHidden/>
          </w:rPr>
          <w:instrText xml:space="preserve"> PAGEREF _Toc470697737 \h </w:instrText>
        </w:r>
        <w:r w:rsidR="00D27497">
          <w:rPr>
            <w:noProof/>
            <w:webHidden/>
          </w:rPr>
        </w:r>
        <w:r w:rsidR="00D27497">
          <w:rPr>
            <w:noProof/>
            <w:webHidden/>
          </w:rPr>
          <w:fldChar w:fldCharType="separate"/>
        </w:r>
        <w:r w:rsidR="0010448A">
          <w:rPr>
            <w:noProof/>
            <w:webHidden/>
          </w:rPr>
          <w:t>1</w:t>
        </w:r>
        <w:r w:rsidR="00D27497">
          <w:rPr>
            <w:noProof/>
            <w:webHidden/>
          </w:rPr>
          <w:fldChar w:fldCharType="end"/>
        </w:r>
      </w:hyperlink>
    </w:p>
    <w:p w14:paraId="158B0180" w14:textId="77777777" w:rsidR="00D27497" w:rsidRDefault="00835FA5" w:rsidP="00D27497">
      <w:pPr>
        <w:pStyle w:val="TOC1"/>
        <w:rPr>
          <w:noProof/>
        </w:rPr>
      </w:pPr>
      <w:hyperlink w:anchor="_Toc470697738" w:history="1">
        <w:r w:rsidR="00D27497" w:rsidRPr="004A7C66">
          <w:rPr>
            <w:rStyle w:val="Hyperlink"/>
            <w:noProof/>
          </w:rPr>
          <w:t>B.</w:t>
        </w:r>
        <w:r w:rsidR="00D27497">
          <w:rPr>
            <w:noProof/>
          </w:rPr>
          <w:tab/>
        </w:r>
        <w:r w:rsidR="00D27497" w:rsidRPr="004A7C66">
          <w:rPr>
            <w:rStyle w:val="Hyperlink"/>
            <w:noProof/>
          </w:rPr>
          <w:t>Prevention strategies implemented</w:t>
        </w:r>
        <w:r w:rsidR="00D27497">
          <w:rPr>
            <w:noProof/>
            <w:webHidden/>
          </w:rPr>
          <w:tab/>
        </w:r>
        <w:r w:rsidR="00D27497">
          <w:rPr>
            <w:noProof/>
            <w:webHidden/>
          </w:rPr>
          <w:fldChar w:fldCharType="begin"/>
        </w:r>
        <w:r w:rsidR="00D27497">
          <w:rPr>
            <w:noProof/>
            <w:webHidden/>
          </w:rPr>
          <w:instrText xml:space="preserve"> PAGEREF _Toc470697738 \h </w:instrText>
        </w:r>
        <w:r w:rsidR="00D27497">
          <w:rPr>
            <w:noProof/>
            <w:webHidden/>
          </w:rPr>
        </w:r>
        <w:r w:rsidR="00D27497">
          <w:rPr>
            <w:noProof/>
            <w:webHidden/>
          </w:rPr>
          <w:fldChar w:fldCharType="separate"/>
        </w:r>
        <w:r w:rsidR="0010448A">
          <w:rPr>
            <w:noProof/>
            <w:webHidden/>
          </w:rPr>
          <w:t>2</w:t>
        </w:r>
        <w:r w:rsidR="00D27497">
          <w:rPr>
            <w:noProof/>
            <w:webHidden/>
          </w:rPr>
          <w:fldChar w:fldCharType="end"/>
        </w:r>
      </w:hyperlink>
    </w:p>
    <w:p w14:paraId="10C550D0" w14:textId="77777777" w:rsidR="00D27497" w:rsidRDefault="00835FA5" w:rsidP="00D27497">
      <w:pPr>
        <w:pStyle w:val="TOC1"/>
        <w:rPr>
          <w:noProof/>
        </w:rPr>
      </w:pPr>
      <w:hyperlink w:anchor="_Toc470697739" w:history="1">
        <w:r w:rsidR="00D27497" w:rsidRPr="004A7C66">
          <w:rPr>
            <w:rStyle w:val="Hyperlink"/>
            <w:noProof/>
          </w:rPr>
          <w:t>C.</w:t>
        </w:r>
        <w:r w:rsidR="00D27497">
          <w:rPr>
            <w:noProof/>
          </w:rPr>
          <w:tab/>
        </w:r>
        <w:r w:rsidR="00D27497" w:rsidRPr="004A7C66">
          <w:rPr>
            <w:rStyle w:val="Hyperlink"/>
            <w:noProof/>
          </w:rPr>
          <w:t>Findings Regarding Regional Implementation and Capacity Building</w:t>
        </w:r>
        <w:r w:rsidR="00D27497">
          <w:rPr>
            <w:noProof/>
            <w:webHidden/>
          </w:rPr>
          <w:tab/>
        </w:r>
        <w:r w:rsidR="00D27497">
          <w:rPr>
            <w:noProof/>
            <w:webHidden/>
          </w:rPr>
          <w:fldChar w:fldCharType="begin"/>
        </w:r>
        <w:r w:rsidR="00D27497">
          <w:rPr>
            <w:noProof/>
            <w:webHidden/>
          </w:rPr>
          <w:instrText xml:space="preserve"> PAGEREF _Toc470697739 \h </w:instrText>
        </w:r>
        <w:r w:rsidR="00D27497">
          <w:rPr>
            <w:noProof/>
            <w:webHidden/>
          </w:rPr>
        </w:r>
        <w:r w:rsidR="00D27497">
          <w:rPr>
            <w:noProof/>
            <w:webHidden/>
          </w:rPr>
          <w:fldChar w:fldCharType="separate"/>
        </w:r>
        <w:r w:rsidR="0010448A">
          <w:rPr>
            <w:noProof/>
            <w:webHidden/>
          </w:rPr>
          <w:t>3</w:t>
        </w:r>
        <w:r w:rsidR="00D27497">
          <w:rPr>
            <w:noProof/>
            <w:webHidden/>
          </w:rPr>
          <w:fldChar w:fldCharType="end"/>
        </w:r>
      </w:hyperlink>
    </w:p>
    <w:p w14:paraId="7CB9EFB6" w14:textId="77777777" w:rsidR="00D27497" w:rsidRDefault="00835FA5" w:rsidP="00D27497">
      <w:pPr>
        <w:pStyle w:val="TOC1"/>
        <w:rPr>
          <w:noProof/>
        </w:rPr>
      </w:pPr>
      <w:hyperlink w:anchor="_Toc470697740" w:history="1">
        <w:r w:rsidR="00D27497" w:rsidRPr="004A7C66">
          <w:rPr>
            <w:rStyle w:val="Hyperlink"/>
            <w:noProof/>
          </w:rPr>
          <w:t>D.</w:t>
        </w:r>
        <w:r w:rsidR="00D27497">
          <w:rPr>
            <w:noProof/>
          </w:rPr>
          <w:tab/>
        </w:r>
        <w:r w:rsidR="00D27497" w:rsidRPr="004A7C66">
          <w:rPr>
            <w:rStyle w:val="Hyperlink"/>
            <w:noProof/>
          </w:rPr>
          <w:t>Findings Regarding Outcomes Achieved</w:t>
        </w:r>
        <w:r w:rsidR="00D27497">
          <w:rPr>
            <w:noProof/>
            <w:webHidden/>
          </w:rPr>
          <w:tab/>
        </w:r>
        <w:r w:rsidR="00D27497">
          <w:rPr>
            <w:noProof/>
            <w:webHidden/>
          </w:rPr>
          <w:fldChar w:fldCharType="begin"/>
        </w:r>
        <w:r w:rsidR="00D27497">
          <w:rPr>
            <w:noProof/>
            <w:webHidden/>
          </w:rPr>
          <w:instrText xml:space="preserve"> PAGEREF _Toc470697740 \h </w:instrText>
        </w:r>
        <w:r w:rsidR="00D27497">
          <w:rPr>
            <w:noProof/>
            <w:webHidden/>
          </w:rPr>
        </w:r>
        <w:r w:rsidR="00D27497">
          <w:rPr>
            <w:noProof/>
            <w:webHidden/>
          </w:rPr>
          <w:fldChar w:fldCharType="separate"/>
        </w:r>
        <w:r w:rsidR="0010448A">
          <w:rPr>
            <w:noProof/>
            <w:webHidden/>
          </w:rPr>
          <w:t>4</w:t>
        </w:r>
        <w:r w:rsidR="00D27497">
          <w:rPr>
            <w:noProof/>
            <w:webHidden/>
          </w:rPr>
          <w:fldChar w:fldCharType="end"/>
        </w:r>
      </w:hyperlink>
    </w:p>
    <w:p w14:paraId="042E0325" w14:textId="77777777" w:rsidR="00D27497" w:rsidRDefault="00835FA5">
      <w:pPr>
        <w:pStyle w:val="TOC2"/>
        <w:tabs>
          <w:tab w:val="right" w:leader="dot" w:pos="9350"/>
        </w:tabs>
        <w:rPr>
          <w:noProof/>
        </w:rPr>
      </w:pPr>
      <w:hyperlink w:anchor="_Toc470697741" w:history="1">
        <w:r w:rsidR="00D27497" w:rsidRPr="004A7C66">
          <w:rPr>
            <w:rStyle w:val="Hyperlink"/>
            <w:noProof/>
          </w:rPr>
          <w:t>Data sources</w:t>
        </w:r>
        <w:r w:rsidR="00D27497">
          <w:rPr>
            <w:noProof/>
            <w:webHidden/>
          </w:rPr>
          <w:tab/>
        </w:r>
        <w:r w:rsidR="00D27497">
          <w:rPr>
            <w:noProof/>
            <w:webHidden/>
          </w:rPr>
          <w:fldChar w:fldCharType="begin"/>
        </w:r>
        <w:r w:rsidR="00D27497">
          <w:rPr>
            <w:noProof/>
            <w:webHidden/>
          </w:rPr>
          <w:instrText xml:space="preserve"> PAGEREF _Toc470697741 \h </w:instrText>
        </w:r>
        <w:r w:rsidR="00D27497">
          <w:rPr>
            <w:noProof/>
            <w:webHidden/>
          </w:rPr>
        </w:r>
        <w:r w:rsidR="00D27497">
          <w:rPr>
            <w:noProof/>
            <w:webHidden/>
          </w:rPr>
          <w:fldChar w:fldCharType="separate"/>
        </w:r>
        <w:r w:rsidR="0010448A">
          <w:rPr>
            <w:noProof/>
            <w:webHidden/>
          </w:rPr>
          <w:t>4</w:t>
        </w:r>
        <w:r w:rsidR="00D27497">
          <w:rPr>
            <w:noProof/>
            <w:webHidden/>
          </w:rPr>
          <w:fldChar w:fldCharType="end"/>
        </w:r>
      </w:hyperlink>
    </w:p>
    <w:p w14:paraId="743B56D0" w14:textId="77777777" w:rsidR="00D27497" w:rsidRDefault="00835FA5">
      <w:pPr>
        <w:pStyle w:val="TOC2"/>
        <w:tabs>
          <w:tab w:val="right" w:leader="dot" w:pos="9350"/>
        </w:tabs>
        <w:rPr>
          <w:noProof/>
        </w:rPr>
      </w:pPr>
      <w:hyperlink w:anchor="_Toc470697742" w:history="1">
        <w:r w:rsidR="00D27497" w:rsidRPr="004A7C66">
          <w:rPr>
            <w:rStyle w:val="Hyperlink"/>
            <w:noProof/>
          </w:rPr>
          <w:t>Analysis approach</w:t>
        </w:r>
        <w:r w:rsidR="00D27497">
          <w:rPr>
            <w:noProof/>
            <w:webHidden/>
          </w:rPr>
          <w:tab/>
        </w:r>
        <w:r w:rsidR="00D27497">
          <w:rPr>
            <w:noProof/>
            <w:webHidden/>
          </w:rPr>
          <w:fldChar w:fldCharType="begin"/>
        </w:r>
        <w:r w:rsidR="00D27497">
          <w:rPr>
            <w:noProof/>
            <w:webHidden/>
          </w:rPr>
          <w:instrText xml:space="preserve"> PAGEREF _Toc470697742 \h </w:instrText>
        </w:r>
        <w:r w:rsidR="00D27497">
          <w:rPr>
            <w:noProof/>
            <w:webHidden/>
          </w:rPr>
        </w:r>
        <w:r w:rsidR="00D27497">
          <w:rPr>
            <w:noProof/>
            <w:webHidden/>
          </w:rPr>
          <w:fldChar w:fldCharType="separate"/>
        </w:r>
        <w:r w:rsidR="0010448A">
          <w:rPr>
            <w:noProof/>
            <w:webHidden/>
          </w:rPr>
          <w:t>4</w:t>
        </w:r>
        <w:r w:rsidR="00D27497">
          <w:rPr>
            <w:noProof/>
            <w:webHidden/>
          </w:rPr>
          <w:fldChar w:fldCharType="end"/>
        </w:r>
      </w:hyperlink>
    </w:p>
    <w:p w14:paraId="237E687E" w14:textId="77777777" w:rsidR="00D27497" w:rsidRDefault="00835FA5">
      <w:pPr>
        <w:pStyle w:val="TOC2"/>
        <w:tabs>
          <w:tab w:val="right" w:leader="dot" w:pos="9350"/>
        </w:tabs>
        <w:rPr>
          <w:noProof/>
        </w:rPr>
      </w:pPr>
      <w:hyperlink w:anchor="_Toc470697743" w:history="1">
        <w:r w:rsidR="00D27497" w:rsidRPr="004A7C66">
          <w:rPr>
            <w:rStyle w:val="Hyperlink"/>
            <w:noProof/>
          </w:rPr>
          <w:t>Measures</w:t>
        </w:r>
        <w:r w:rsidR="00D27497">
          <w:rPr>
            <w:noProof/>
            <w:webHidden/>
          </w:rPr>
          <w:tab/>
        </w:r>
        <w:r w:rsidR="00D27497">
          <w:rPr>
            <w:noProof/>
            <w:webHidden/>
          </w:rPr>
          <w:fldChar w:fldCharType="begin"/>
        </w:r>
        <w:r w:rsidR="00D27497">
          <w:rPr>
            <w:noProof/>
            <w:webHidden/>
          </w:rPr>
          <w:instrText xml:space="preserve"> PAGEREF _Toc470697743 \h </w:instrText>
        </w:r>
        <w:r w:rsidR="00D27497">
          <w:rPr>
            <w:noProof/>
            <w:webHidden/>
          </w:rPr>
        </w:r>
        <w:r w:rsidR="00D27497">
          <w:rPr>
            <w:noProof/>
            <w:webHidden/>
          </w:rPr>
          <w:fldChar w:fldCharType="separate"/>
        </w:r>
        <w:r w:rsidR="0010448A">
          <w:rPr>
            <w:noProof/>
            <w:webHidden/>
          </w:rPr>
          <w:t>5</w:t>
        </w:r>
        <w:r w:rsidR="00D27497">
          <w:rPr>
            <w:noProof/>
            <w:webHidden/>
          </w:rPr>
          <w:fldChar w:fldCharType="end"/>
        </w:r>
      </w:hyperlink>
    </w:p>
    <w:p w14:paraId="437B7839" w14:textId="77777777" w:rsidR="00D27497" w:rsidRDefault="00835FA5">
      <w:pPr>
        <w:pStyle w:val="TOC2"/>
        <w:tabs>
          <w:tab w:val="right" w:leader="dot" w:pos="9350"/>
        </w:tabs>
        <w:rPr>
          <w:noProof/>
        </w:rPr>
      </w:pPr>
      <w:hyperlink w:anchor="_Toc470697744" w:history="1">
        <w:r w:rsidR="00D27497" w:rsidRPr="004A7C66">
          <w:rPr>
            <w:rStyle w:val="Hyperlink"/>
            <w:noProof/>
          </w:rPr>
          <w:t>Findings from the YRBS data</w:t>
        </w:r>
        <w:r w:rsidR="00D27497">
          <w:rPr>
            <w:noProof/>
            <w:webHidden/>
          </w:rPr>
          <w:tab/>
        </w:r>
        <w:r w:rsidR="00D27497">
          <w:rPr>
            <w:noProof/>
            <w:webHidden/>
          </w:rPr>
          <w:fldChar w:fldCharType="begin"/>
        </w:r>
        <w:r w:rsidR="00D27497">
          <w:rPr>
            <w:noProof/>
            <w:webHidden/>
          </w:rPr>
          <w:instrText xml:space="preserve"> PAGEREF _Toc470697744 \h </w:instrText>
        </w:r>
        <w:r w:rsidR="00D27497">
          <w:rPr>
            <w:noProof/>
            <w:webHidden/>
          </w:rPr>
        </w:r>
        <w:r w:rsidR="00D27497">
          <w:rPr>
            <w:noProof/>
            <w:webHidden/>
          </w:rPr>
          <w:fldChar w:fldCharType="separate"/>
        </w:r>
        <w:r w:rsidR="0010448A">
          <w:rPr>
            <w:noProof/>
            <w:webHidden/>
          </w:rPr>
          <w:t>5</w:t>
        </w:r>
        <w:r w:rsidR="00D27497">
          <w:rPr>
            <w:noProof/>
            <w:webHidden/>
          </w:rPr>
          <w:fldChar w:fldCharType="end"/>
        </w:r>
      </w:hyperlink>
    </w:p>
    <w:p w14:paraId="4B4DECC3" w14:textId="30846A47" w:rsidR="00D27497" w:rsidRDefault="00835FA5">
      <w:pPr>
        <w:pStyle w:val="TOC2"/>
        <w:tabs>
          <w:tab w:val="right" w:leader="dot" w:pos="9350"/>
        </w:tabs>
        <w:rPr>
          <w:noProof/>
        </w:rPr>
      </w:pPr>
      <w:hyperlink w:anchor="_Toc470697745" w:history="1">
        <w:r w:rsidR="00D27497" w:rsidRPr="004A7C66">
          <w:rPr>
            <w:rStyle w:val="Hyperlink"/>
            <w:noProof/>
          </w:rPr>
          <w:t>Findings from the YAS data</w:t>
        </w:r>
        <w:r w:rsidR="00D27497">
          <w:rPr>
            <w:noProof/>
            <w:webHidden/>
          </w:rPr>
          <w:tab/>
        </w:r>
        <w:r w:rsidR="00D27497">
          <w:rPr>
            <w:noProof/>
            <w:webHidden/>
          </w:rPr>
          <w:fldChar w:fldCharType="begin"/>
        </w:r>
        <w:r w:rsidR="00D27497">
          <w:rPr>
            <w:noProof/>
            <w:webHidden/>
          </w:rPr>
          <w:instrText xml:space="preserve"> PAGEREF _Toc470697745 \h </w:instrText>
        </w:r>
        <w:r w:rsidR="00D27497">
          <w:rPr>
            <w:noProof/>
            <w:webHidden/>
          </w:rPr>
        </w:r>
        <w:r w:rsidR="00D27497">
          <w:rPr>
            <w:noProof/>
            <w:webHidden/>
          </w:rPr>
          <w:fldChar w:fldCharType="separate"/>
        </w:r>
        <w:r w:rsidR="0010448A">
          <w:rPr>
            <w:noProof/>
            <w:webHidden/>
          </w:rPr>
          <w:t>7</w:t>
        </w:r>
        <w:r w:rsidR="00D27497">
          <w:rPr>
            <w:noProof/>
            <w:webHidden/>
          </w:rPr>
          <w:fldChar w:fldCharType="end"/>
        </w:r>
      </w:hyperlink>
      <w:hyperlink w:anchor="_Toc470697746" w:history="1"/>
    </w:p>
    <w:p w14:paraId="0780D6ED" w14:textId="77777777" w:rsidR="00D27497" w:rsidRDefault="00835FA5" w:rsidP="00D27497">
      <w:pPr>
        <w:pStyle w:val="TOC1"/>
        <w:rPr>
          <w:noProof/>
        </w:rPr>
      </w:pPr>
      <w:hyperlink w:anchor="_Toc470697747" w:history="1">
        <w:r w:rsidR="00D27497" w:rsidRPr="004A7C66">
          <w:rPr>
            <w:rStyle w:val="Hyperlink"/>
            <w:noProof/>
          </w:rPr>
          <w:t>E.</w:t>
        </w:r>
        <w:r w:rsidR="00D27497">
          <w:rPr>
            <w:noProof/>
          </w:rPr>
          <w:tab/>
        </w:r>
        <w:r w:rsidR="00D27497" w:rsidRPr="004A7C66">
          <w:rPr>
            <w:rStyle w:val="Hyperlink"/>
            <w:noProof/>
          </w:rPr>
          <w:t>Discussion and Implications</w:t>
        </w:r>
        <w:r w:rsidR="00D27497">
          <w:rPr>
            <w:noProof/>
            <w:webHidden/>
          </w:rPr>
          <w:tab/>
        </w:r>
        <w:r w:rsidR="00D27497">
          <w:rPr>
            <w:noProof/>
            <w:webHidden/>
          </w:rPr>
          <w:fldChar w:fldCharType="begin"/>
        </w:r>
        <w:r w:rsidR="00D27497">
          <w:rPr>
            <w:noProof/>
            <w:webHidden/>
          </w:rPr>
          <w:instrText xml:space="preserve"> PAGEREF _Toc470697747 \h </w:instrText>
        </w:r>
        <w:r w:rsidR="00D27497">
          <w:rPr>
            <w:noProof/>
            <w:webHidden/>
          </w:rPr>
        </w:r>
        <w:r w:rsidR="00D27497">
          <w:rPr>
            <w:noProof/>
            <w:webHidden/>
          </w:rPr>
          <w:fldChar w:fldCharType="separate"/>
        </w:r>
        <w:r w:rsidR="0010448A">
          <w:rPr>
            <w:noProof/>
            <w:webHidden/>
          </w:rPr>
          <w:t>9</w:t>
        </w:r>
        <w:r w:rsidR="00D27497">
          <w:rPr>
            <w:noProof/>
            <w:webHidden/>
          </w:rPr>
          <w:fldChar w:fldCharType="end"/>
        </w:r>
      </w:hyperlink>
    </w:p>
    <w:p w14:paraId="74C1ECA7" w14:textId="77777777" w:rsidR="00D27497" w:rsidRDefault="00835FA5">
      <w:pPr>
        <w:pStyle w:val="TOC2"/>
        <w:tabs>
          <w:tab w:val="right" w:leader="dot" w:pos="9350"/>
        </w:tabs>
        <w:rPr>
          <w:noProof/>
        </w:rPr>
      </w:pPr>
      <w:hyperlink w:anchor="_Toc470697748" w:history="1">
        <w:r w:rsidR="00D27497" w:rsidRPr="004A7C66">
          <w:rPr>
            <w:rStyle w:val="Hyperlink"/>
            <w:noProof/>
          </w:rPr>
          <w:t>Unique features of Vermont’s PFS</w:t>
        </w:r>
        <w:r w:rsidR="00D27497">
          <w:rPr>
            <w:noProof/>
            <w:webHidden/>
          </w:rPr>
          <w:tab/>
        </w:r>
        <w:r w:rsidR="00D27497">
          <w:rPr>
            <w:noProof/>
            <w:webHidden/>
          </w:rPr>
          <w:fldChar w:fldCharType="begin"/>
        </w:r>
        <w:r w:rsidR="00D27497">
          <w:rPr>
            <w:noProof/>
            <w:webHidden/>
          </w:rPr>
          <w:instrText xml:space="preserve"> PAGEREF _Toc470697748 \h </w:instrText>
        </w:r>
        <w:r w:rsidR="00D27497">
          <w:rPr>
            <w:noProof/>
            <w:webHidden/>
          </w:rPr>
        </w:r>
        <w:r w:rsidR="00D27497">
          <w:rPr>
            <w:noProof/>
            <w:webHidden/>
          </w:rPr>
          <w:fldChar w:fldCharType="separate"/>
        </w:r>
        <w:r w:rsidR="0010448A">
          <w:rPr>
            <w:noProof/>
            <w:webHidden/>
          </w:rPr>
          <w:t>9</w:t>
        </w:r>
        <w:r w:rsidR="00D27497">
          <w:rPr>
            <w:noProof/>
            <w:webHidden/>
          </w:rPr>
          <w:fldChar w:fldCharType="end"/>
        </w:r>
      </w:hyperlink>
    </w:p>
    <w:p w14:paraId="4EA0C977" w14:textId="426A6A60" w:rsidR="00D27497" w:rsidRDefault="00835FA5">
      <w:pPr>
        <w:pStyle w:val="TOC2"/>
        <w:tabs>
          <w:tab w:val="right" w:leader="dot" w:pos="9350"/>
        </w:tabs>
        <w:rPr>
          <w:noProof/>
        </w:rPr>
      </w:pPr>
      <w:hyperlink w:anchor="_Toc470697749" w:history="1">
        <w:r w:rsidR="003A7B09">
          <w:rPr>
            <w:rStyle w:val="Hyperlink"/>
            <w:noProof/>
          </w:rPr>
          <w:t xml:space="preserve">PFS </w:t>
        </w:r>
        <w:r w:rsidR="00D8753B">
          <w:rPr>
            <w:rStyle w:val="Hyperlink"/>
            <w:noProof/>
          </w:rPr>
          <w:t>i</w:t>
        </w:r>
        <w:r w:rsidR="00D27497" w:rsidRPr="004A7C66">
          <w:rPr>
            <w:rStyle w:val="Hyperlink"/>
            <w:noProof/>
          </w:rPr>
          <w:t>mplementation</w:t>
        </w:r>
        <w:r w:rsidR="00D27497">
          <w:rPr>
            <w:noProof/>
            <w:webHidden/>
          </w:rPr>
          <w:tab/>
        </w:r>
        <w:r w:rsidR="00D27497">
          <w:rPr>
            <w:noProof/>
            <w:webHidden/>
          </w:rPr>
          <w:fldChar w:fldCharType="begin"/>
        </w:r>
        <w:r w:rsidR="00D27497">
          <w:rPr>
            <w:noProof/>
            <w:webHidden/>
          </w:rPr>
          <w:instrText xml:space="preserve"> PAGEREF _Toc470697749 \h </w:instrText>
        </w:r>
        <w:r w:rsidR="00D27497">
          <w:rPr>
            <w:noProof/>
            <w:webHidden/>
          </w:rPr>
        </w:r>
        <w:r w:rsidR="00D27497">
          <w:rPr>
            <w:noProof/>
            <w:webHidden/>
          </w:rPr>
          <w:fldChar w:fldCharType="separate"/>
        </w:r>
        <w:r w:rsidR="0010448A">
          <w:rPr>
            <w:noProof/>
            <w:webHidden/>
          </w:rPr>
          <w:t>10</w:t>
        </w:r>
        <w:r w:rsidR="00D27497">
          <w:rPr>
            <w:noProof/>
            <w:webHidden/>
          </w:rPr>
          <w:fldChar w:fldCharType="end"/>
        </w:r>
      </w:hyperlink>
    </w:p>
    <w:p w14:paraId="095DAB62" w14:textId="4CB58DC7" w:rsidR="00D27497" w:rsidRDefault="00835FA5">
      <w:pPr>
        <w:pStyle w:val="TOC2"/>
        <w:tabs>
          <w:tab w:val="right" w:leader="dot" w:pos="9350"/>
        </w:tabs>
        <w:rPr>
          <w:noProof/>
        </w:rPr>
      </w:pPr>
      <w:hyperlink w:anchor="_Toc470697750" w:history="1">
        <w:r w:rsidR="003A7B09">
          <w:rPr>
            <w:rStyle w:val="Hyperlink"/>
            <w:noProof/>
          </w:rPr>
          <w:t xml:space="preserve">PFS </w:t>
        </w:r>
        <w:r w:rsidR="00D8753B">
          <w:rPr>
            <w:rStyle w:val="Hyperlink"/>
            <w:noProof/>
          </w:rPr>
          <w:t>o</w:t>
        </w:r>
        <w:r w:rsidR="00D27497" w:rsidRPr="004A7C66">
          <w:rPr>
            <w:rStyle w:val="Hyperlink"/>
            <w:noProof/>
          </w:rPr>
          <w:t>utcomes</w:t>
        </w:r>
        <w:r w:rsidR="00D27497">
          <w:rPr>
            <w:noProof/>
            <w:webHidden/>
          </w:rPr>
          <w:tab/>
        </w:r>
        <w:r w:rsidR="00D27497">
          <w:rPr>
            <w:noProof/>
            <w:webHidden/>
          </w:rPr>
          <w:fldChar w:fldCharType="begin"/>
        </w:r>
        <w:r w:rsidR="00D27497">
          <w:rPr>
            <w:noProof/>
            <w:webHidden/>
          </w:rPr>
          <w:instrText xml:space="preserve"> PAGEREF _Toc470697750 \h </w:instrText>
        </w:r>
        <w:r w:rsidR="00D27497">
          <w:rPr>
            <w:noProof/>
            <w:webHidden/>
          </w:rPr>
        </w:r>
        <w:r w:rsidR="00D27497">
          <w:rPr>
            <w:noProof/>
            <w:webHidden/>
          </w:rPr>
          <w:fldChar w:fldCharType="separate"/>
        </w:r>
        <w:r w:rsidR="0010448A">
          <w:rPr>
            <w:noProof/>
            <w:webHidden/>
          </w:rPr>
          <w:t>10</w:t>
        </w:r>
        <w:r w:rsidR="00D27497">
          <w:rPr>
            <w:noProof/>
            <w:webHidden/>
          </w:rPr>
          <w:fldChar w:fldCharType="end"/>
        </w:r>
      </w:hyperlink>
    </w:p>
    <w:p w14:paraId="69847736" w14:textId="77777777" w:rsidR="00D27497" w:rsidRDefault="00835FA5">
      <w:pPr>
        <w:pStyle w:val="TOC2"/>
        <w:tabs>
          <w:tab w:val="right" w:leader="dot" w:pos="9350"/>
        </w:tabs>
        <w:rPr>
          <w:noProof/>
        </w:rPr>
      </w:pPr>
      <w:hyperlink w:anchor="_Toc470697751" w:history="1">
        <w:r w:rsidR="00D27497" w:rsidRPr="004A7C66">
          <w:rPr>
            <w:rStyle w:val="Hyperlink"/>
            <w:noProof/>
          </w:rPr>
          <w:t>Implications and next steps</w:t>
        </w:r>
        <w:r w:rsidR="00D27497">
          <w:rPr>
            <w:noProof/>
            <w:webHidden/>
          </w:rPr>
          <w:tab/>
        </w:r>
        <w:r w:rsidR="00D27497">
          <w:rPr>
            <w:noProof/>
            <w:webHidden/>
          </w:rPr>
          <w:fldChar w:fldCharType="begin"/>
        </w:r>
        <w:r w:rsidR="00D27497">
          <w:rPr>
            <w:noProof/>
            <w:webHidden/>
          </w:rPr>
          <w:instrText xml:space="preserve"> PAGEREF _Toc470697751 \h </w:instrText>
        </w:r>
        <w:r w:rsidR="00D27497">
          <w:rPr>
            <w:noProof/>
            <w:webHidden/>
          </w:rPr>
        </w:r>
        <w:r w:rsidR="00D27497">
          <w:rPr>
            <w:noProof/>
            <w:webHidden/>
          </w:rPr>
          <w:fldChar w:fldCharType="separate"/>
        </w:r>
        <w:r w:rsidR="0010448A">
          <w:rPr>
            <w:noProof/>
            <w:webHidden/>
          </w:rPr>
          <w:t>12</w:t>
        </w:r>
        <w:r w:rsidR="00D27497">
          <w:rPr>
            <w:noProof/>
            <w:webHidden/>
          </w:rPr>
          <w:fldChar w:fldCharType="end"/>
        </w:r>
      </w:hyperlink>
    </w:p>
    <w:p w14:paraId="19DE3DB1" w14:textId="77777777" w:rsidR="00D27497" w:rsidRDefault="00835FA5" w:rsidP="00D27497">
      <w:pPr>
        <w:pStyle w:val="TOC1"/>
        <w:rPr>
          <w:noProof/>
        </w:rPr>
      </w:pPr>
      <w:hyperlink w:anchor="_Toc470697752" w:history="1">
        <w:r w:rsidR="00D27497" w:rsidRPr="004A7C66">
          <w:rPr>
            <w:rStyle w:val="Hyperlink"/>
            <w:noProof/>
          </w:rPr>
          <w:t>Appendix</w:t>
        </w:r>
        <w:r w:rsidR="00D27497">
          <w:rPr>
            <w:noProof/>
            <w:webHidden/>
          </w:rPr>
          <w:tab/>
        </w:r>
        <w:r w:rsidR="00D27497">
          <w:rPr>
            <w:noProof/>
            <w:webHidden/>
          </w:rPr>
          <w:fldChar w:fldCharType="begin"/>
        </w:r>
        <w:r w:rsidR="00D27497">
          <w:rPr>
            <w:noProof/>
            <w:webHidden/>
          </w:rPr>
          <w:instrText xml:space="preserve"> PAGEREF _Toc470697752 \h </w:instrText>
        </w:r>
        <w:r w:rsidR="00D27497">
          <w:rPr>
            <w:noProof/>
            <w:webHidden/>
          </w:rPr>
        </w:r>
        <w:r w:rsidR="00D27497">
          <w:rPr>
            <w:noProof/>
            <w:webHidden/>
          </w:rPr>
          <w:fldChar w:fldCharType="separate"/>
        </w:r>
        <w:r w:rsidR="0010448A">
          <w:rPr>
            <w:noProof/>
            <w:webHidden/>
          </w:rPr>
          <w:t>14</w:t>
        </w:r>
        <w:r w:rsidR="00D27497">
          <w:rPr>
            <w:noProof/>
            <w:webHidden/>
          </w:rPr>
          <w:fldChar w:fldCharType="end"/>
        </w:r>
      </w:hyperlink>
    </w:p>
    <w:p w14:paraId="7DF1786D" w14:textId="77777777" w:rsidR="00D27497" w:rsidRDefault="00835FA5">
      <w:pPr>
        <w:pStyle w:val="TOC2"/>
        <w:tabs>
          <w:tab w:val="right" w:leader="dot" w:pos="9350"/>
        </w:tabs>
        <w:rPr>
          <w:noProof/>
        </w:rPr>
      </w:pPr>
      <w:hyperlink w:anchor="_Toc470697753" w:history="1">
        <w:r w:rsidR="00D27497" w:rsidRPr="004A7C66">
          <w:rPr>
            <w:rStyle w:val="Hyperlink"/>
            <w:noProof/>
          </w:rPr>
          <w:t>Table A1.  Interventions implemented by each PFS grantee</w:t>
        </w:r>
        <w:r w:rsidR="00D27497">
          <w:rPr>
            <w:noProof/>
            <w:webHidden/>
          </w:rPr>
          <w:tab/>
        </w:r>
        <w:r w:rsidR="00D27497">
          <w:rPr>
            <w:noProof/>
            <w:webHidden/>
          </w:rPr>
          <w:fldChar w:fldCharType="begin"/>
        </w:r>
        <w:r w:rsidR="00D27497">
          <w:rPr>
            <w:noProof/>
            <w:webHidden/>
          </w:rPr>
          <w:instrText xml:space="preserve"> PAGEREF _Toc470697753 \h </w:instrText>
        </w:r>
        <w:r w:rsidR="00D27497">
          <w:rPr>
            <w:noProof/>
            <w:webHidden/>
          </w:rPr>
        </w:r>
        <w:r w:rsidR="00D27497">
          <w:rPr>
            <w:noProof/>
            <w:webHidden/>
          </w:rPr>
          <w:fldChar w:fldCharType="separate"/>
        </w:r>
        <w:r w:rsidR="0010448A">
          <w:rPr>
            <w:noProof/>
            <w:webHidden/>
          </w:rPr>
          <w:t>14</w:t>
        </w:r>
        <w:r w:rsidR="00D27497">
          <w:rPr>
            <w:noProof/>
            <w:webHidden/>
          </w:rPr>
          <w:fldChar w:fldCharType="end"/>
        </w:r>
      </w:hyperlink>
    </w:p>
    <w:p w14:paraId="33A5F897" w14:textId="77777777" w:rsidR="000F7C82" w:rsidRDefault="00D27497" w:rsidP="000F7C82">
      <w:pPr>
        <w:spacing w:after="200" w:line="276" w:lineRule="auto"/>
        <w:rPr>
          <w:rFonts w:cs="Times New Roman"/>
        </w:rPr>
      </w:pPr>
      <w:r>
        <w:rPr>
          <w:rFonts w:cs="Times New Roman"/>
        </w:rPr>
        <w:fldChar w:fldCharType="end"/>
      </w:r>
    </w:p>
    <w:p w14:paraId="013E909A" w14:textId="77777777" w:rsidR="00D27497" w:rsidRPr="000F7C82" w:rsidRDefault="00D27497" w:rsidP="000F7C82">
      <w:pPr>
        <w:spacing w:after="200" w:line="276" w:lineRule="auto"/>
        <w:rPr>
          <w:rFonts w:cs="Times New Roman"/>
        </w:rPr>
      </w:pPr>
    </w:p>
    <w:p w14:paraId="583E0BF5" w14:textId="77777777" w:rsidR="000F7C82" w:rsidRPr="000F7C82" w:rsidRDefault="000F7C82" w:rsidP="000F7C82">
      <w:pPr>
        <w:rPr>
          <w:rFonts w:cs="Times New Roman"/>
        </w:rPr>
      </w:pPr>
      <w:r w:rsidRPr="000F7C82">
        <w:rPr>
          <w:rFonts w:cs="Times New Roman"/>
        </w:rPr>
        <w:br w:type="page"/>
      </w:r>
    </w:p>
    <w:p w14:paraId="5F5D8FB1" w14:textId="77777777" w:rsidR="00972167" w:rsidRDefault="00972167" w:rsidP="00C76309">
      <w:pPr>
        <w:pStyle w:val="ListParagraph"/>
        <w:numPr>
          <w:ilvl w:val="0"/>
          <w:numId w:val="3"/>
        </w:numPr>
        <w:ind w:left="360"/>
        <w:rPr>
          <w:rFonts w:ascii="Arial" w:hAnsi="Arial" w:cs="Arial"/>
          <w:b/>
          <w:bCs/>
        </w:rPr>
        <w:sectPr w:rsidR="00972167" w:rsidSect="00ED3BD7">
          <w:pgSz w:w="12240" w:h="15840"/>
          <w:pgMar w:top="1440" w:right="1440" w:bottom="1440" w:left="1440" w:header="720" w:footer="720" w:gutter="0"/>
          <w:cols w:space="720"/>
          <w:docGrid w:linePitch="360"/>
        </w:sectPr>
      </w:pPr>
    </w:p>
    <w:p w14:paraId="235E6EDE" w14:textId="77777777" w:rsidR="00ED2C1F" w:rsidRPr="00C76309" w:rsidRDefault="00ED2C1F" w:rsidP="00F02297">
      <w:pPr>
        <w:pStyle w:val="H1"/>
      </w:pPr>
      <w:bookmarkStart w:id="0" w:name="_Toc470697735"/>
      <w:r w:rsidRPr="00C76309">
        <w:lastRenderedPageBreak/>
        <w:t>Background</w:t>
      </w:r>
      <w:bookmarkEnd w:id="0"/>
      <w:r w:rsidRPr="00C76309">
        <w:t xml:space="preserve"> </w:t>
      </w:r>
    </w:p>
    <w:p w14:paraId="78CFEDE5" w14:textId="77777777" w:rsidR="00ED2C1F" w:rsidRPr="00C76309" w:rsidRDefault="00ED2C1F" w:rsidP="00C76309">
      <w:pPr>
        <w:pStyle w:val="ListParagraph"/>
        <w:ind w:left="0"/>
        <w:rPr>
          <w:rFonts w:ascii="Arial" w:hAnsi="Arial" w:cs="Arial"/>
        </w:rPr>
      </w:pPr>
    </w:p>
    <w:p w14:paraId="5BE673AF" w14:textId="7A6C2E02" w:rsidR="00ED2C1F" w:rsidRDefault="00ED2C1F" w:rsidP="007F5001">
      <w:pPr>
        <w:pStyle w:val="ListParagraph"/>
        <w:ind w:left="0"/>
        <w:rPr>
          <w:rFonts w:ascii="Arial" w:hAnsi="Arial" w:cs="Arial"/>
        </w:rPr>
      </w:pPr>
      <w:r w:rsidRPr="00C76309">
        <w:rPr>
          <w:rFonts w:ascii="Arial" w:hAnsi="Arial" w:cs="Arial"/>
        </w:rPr>
        <w:t>Partnerships for Success (PFS) II was a three-year</w:t>
      </w:r>
      <w:r w:rsidR="00AA76D5">
        <w:rPr>
          <w:rFonts w:ascii="Arial" w:hAnsi="Arial" w:cs="Arial"/>
        </w:rPr>
        <w:t xml:space="preserve"> substance use prevention project</w:t>
      </w:r>
      <w:r w:rsidRPr="00C76309">
        <w:rPr>
          <w:rFonts w:ascii="Arial" w:hAnsi="Arial" w:cs="Arial"/>
        </w:rPr>
        <w:t xml:space="preserve"> implemented by the Vermont Department of Health (VDH) Division of Alcohol and Drug Abuse Programs (</w:t>
      </w:r>
      <w:smartTag w:uri="urn:schemas-microsoft-com:office:smarttags" w:element="stockticker">
        <w:r w:rsidRPr="00C76309">
          <w:rPr>
            <w:rFonts w:ascii="Arial" w:hAnsi="Arial" w:cs="Arial"/>
          </w:rPr>
          <w:t>ADAP</w:t>
        </w:r>
      </w:smartTag>
      <w:r w:rsidRPr="00C76309">
        <w:rPr>
          <w:rFonts w:ascii="Arial" w:hAnsi="Arial" w:cs="Arial"/>
        </w:rPr>
        <w:t xml:space="preserve">).  PFS was funded through a grant from the federal government’s Substance Abuse and Mental Health Services Administration (SAMHSA). Vermont’s PFS </w:t>
      </w:r>
      <w:r w:rsidR="009478E1">
        <w:rPr>
          <w:rFonts w:ascii="Arial" w:hAnsi="Arial" w:cs="Arial"/>
        </w:rPr>
        <w:t xml:space="preserve">adhered to </w:t>
      </w:r>
      <w:r w:rsidR="002F1B17">
        <w:rPr>
          <w:rFonts w:ascii="Arial" w:hAnsi="Arial" w:cs="Arial"/>
        </w:rPr>
        <w:t xml:space="preserve">SAMHSA’s </w:t>
      </w:r>
      <w:r w:rsidRPr="00C76309">
        <w:rPr>
          <w:rFonts w:ascii="Arial" w:hAnsi="Arial" w:cs="Arial"/>
        </w:rPr>
        <w:t>Strategic Prevention Framework (</w:t>
      </w:r>
      <w:smartTag w:uri="urn:schemas-microsoft-com:office:smarttags" w:element="stockticker">
        <w:r w:rsidRPr="00C76309">
          <w:rPr>
            <w:rFonts w:ascii="Arial" w:hAnsi="Arial" w:cs="Arial"/>
          </w:rPr>
          <w:t>SPF</w:t>
        </w:r>
      </w:smartTag>
      <w:r w:rsidRPr="00C76309">
        <w:rPr>
          <w:rFonts w:ascii="Arial" w:hAnsi="Arial" w:cs="Arial"/>
        </w:rPr>
        <w:t xml:space="preserve">), which is a five step comprehensive process implemented by states, and selected regions or communities within states, for preventing substance misuse and related behavioral health problems.  The </w:t>
      </w:r>
      <w:smartTag w:uri="urn:schemas-microsoft-com:office:smarttags" w:element="stockticker">
        <w:r w:rsidRPr="00C76309">
          <w:rPr>
            <w:rFonts w:ascii="Arial" w:hAnsi="Arial" w:cs="Arial"/>
          </w:rPr>
          <w:t>SPF</w:t>
        </w:r>
      </w:smartTag>
      <w:r w:rsidRPr="00C76309">
        <w:rPr>
          <w:rFonts w:ascii="Arial" w:hAnsi="Arial" w:cs="Arial"/>
        </w:rPr>
        <w:t xml:space="preserve"> process was adopted by </w:t>
      </w:r>
      <w:smartTag w:uri="urn:schemas-microsoft-com:office:smarttags" w:element="stockticker">
        <w:r w:rsidRPr="00C76309">
          <w:rPr>
            <w:rFonts w:ascii="Arial" w:hAnsi="Arial" w:cs="Arial"/>
          </w:rPr>
          <w:t>ADAP</w:t>
        </w:r>
      </w:smartTag>
      <w:r w:rsidRPr="00C76309">
        <w:rPr>
          <w:rFonts w:ascii="Arial" w:hAnsi="Arial" w:cs="Arial"/>
        </w:rPr>
        <w:t xml:space="preserve"> initially through a five-year SAMHSA-funded initiative called the Strategic Prevention Framework State Incentive Grant (</w:t>
      </w:r>
      <w:smartTag w:uri="urn:schemas-microsoft-com:office:smarttags" w:element="stockticker">
        <w:r w:rsidRPr="00C76309">
          <w:rPr>
            <w:rFonts w:ascii="Arial" w:hAnsi="Arial" w:cs="Arial"/>
          </w:rPr>
          <w:t>SPF</w:t>
        </w:r>
      </w:smartTag>
      <w:r w:rsidRPr="00C76309">
        <w:rPr>
          <w:rFonts w:ascii="Arial" w:hAnsi="Arial" w:cs="Arial"/>
        </w:rPr>
        <w:t>-SIG), which Vermont successfully implemented between 2007 and</w:t>
      </w:r>
      <w:r w:rsidR="00CB0D21">
        <w:rPr>
          <w:rFonts w:ascii="Arial" w:hAnsi="Arial" w:cs="Arial"/>
        </w:rPr>
        <w:t xml:space="preserve"> 2011.  An evaluation summary from that project, titled “SPF-</w:t>
      </w:r>
      <w:r w:rsidR="006D482B">
        <w:rPr>
          <w:rFonts w:ascii="Arial" w:hAnsi="Arial" w:cs="Arial"/>
        </w:rPr>
        <w:t>SIG Evaluation Fact Sheet,</w:t>
      </w:r>
      <w:r w:rsidR="00D8753B">
        <w:rPr>
          <w:rFonts w:ascii="Arial" w:hAnsi="Arial" w:cs="Arial"/>
        </w:rPr>
        <w:t>”</w:t>
      </w:r>
      <w:r w:rsidRPr="00C76309">
        <w:rPr>
          <w:rFonts w:ascii="Arial" w:hAnsi="Arial" w:cs="Arial"/>
        </w:rPr>
        <w:t xml:space="preserve"> can be found here</w:t>
      </w:r>
      <w:r w:rsidR="00AA76D5">
        <w:rPr>
          <w:rFonts w:ascii="Arial" w:hAnsi="Arial" w:cs="Arial"/>
        </w:rPr>
        <w:t xml:space="preserve">: </w:t>
      </w:r>
      <w:hyperlink r:id="rId10" w:history="1">
        <w:r w:rsidR="00CB0D21" w:rsidRPr="0066036D">
          <w:rPr>
            <w:rStyle w:val="Hyperlink"/>
            <w:rFonts w:ascii="Arial" w:hAnsi="Arial" w:cs="Arial"/>
          </w:rPr>
          <w:t>http://healthvermont.</w:t>
        </w:r>
        <w:r w:rsidR="00CB0D21" w:rsidRPr="0066036D">
          <w:rPr>
            <w:rStyle w:val="Hyperlink"/>
            <w:rFonts w:ascii="Arial" w:hAnsi="Arial" w:cs="Arial"/>
          </w:rPr>
          <w:t>g</w:t>
        </w:r>
        <w:r w:rsidR="00CB0D21" w:rsidRPr="0066036D">
          <w:rPr>
            <w:rStyle w:val="Hyperlink"/>
            <w:rFonts w:ascii="Arial" w:hAnsi="Arial" w:cs="Arial"/>
          </w:rPr>
          <w:t>ov/alcohol-drugs/reports/data-and-reports</w:t>
        </w:r>
      </w:hyperlink>
      <w:r w:rsidR="00AA76D5">
        <w:rPr>
          <w:rFonts w:ascii="Arial" w:hAnsi="Arial" w:cs="Arial"/>
        </w:rPr>
        <w:t>.</w:t>
      </w:r>
    </w:p>
    <w:p w14:paraId="32F0E667" w14:textId="77777777" w:rsidR="00AA76D5" w:rsidRPr="00C76309" w:rsidRDefault="00AA76D5" w:rsidP="007F5001">
      <w:pPr>
        <w:pStyle w:val="ListParagraph"/>
        <w:ind w:left="0"/>
        <w:rPr>
          <w:rFonts w:ascii="Arial" w:hAnsi="Arial" w:cs="Arial"/>
        </w:rPr>
      </w:pPr>
    </w:p>
    <w:p w14:paraId="5EC3D17C" w14:textId="77777777" w:rsidR="00ED2C1F" w:rsidRPr="00C76309" w:rsidRDefault="00ED2C1F" w:rsidP="007F5001">
      <w:pPr>
        <w:pStyle w:val="ListParagraph"/>
        <w:ind w:left="0"/>
        <w:rPr>
          <w:rFonts w:ascii="Arial" w:hAnsi="Arial" w:cs="Arial"/>
        </w:rPr>
      </w:pPr>
      <w:r w:rsidRPr="00C76309">
        <w:rPr>
          <w:rFonts w:ascii="Arial" w:hAnsi="Arial" w:cs="Arial"/>
        </w:rPr>
        <w:t>PFS II funding began in the fall of 2012 and the first nine months were spent planning the state’s approach including the development of guidance documents and regional strategic plans.  Funding for communities began in July 2013, and continued through June 2016 after VDH obtained a one-year no-cost extension.</w:t>
      </w:r>
    </w:p>
    <w:p w14:paraId="19487A9C" w14:textId="77777777" w:rsidR="00ED2C1F" w:rsidRPr="00C76309" w:rsidRDefault="00ED2C1F" w:rsidP="00C76309">
      <w:pPr>
        <w:pStyle w:val="ListParagraph"/>
        <w:ind w:left="360"/>
        <w:rPr>
          <w:rFonts w:ascii="Arial" w:hAnsi="Arial" w:cs="Arial"/>
        </w:rPr>
      </w:pPr>
    </w:p>
    <w:p w14:paraId="0C94701E" w14:textId="77777777" w:rsidR="00ED2C1F" w:rsidRPr="007F5001" w:rsidRDefault="00ED2C1F" w:rsidP="00F02297">
      <w:pPr>
        <w:pStyle w:val="H2"/>
      </w:pPr>
      <w:bookmarkStart w:id="1" w:name="_Toc470697736"/>
      <w:r w:rsidRPr="007F5001">
        <w:t>PFS project objectives</w:t>
      </w:r>
      <w:bookmarkEnd w:id="1"/>
    </w:p>
    <w:p w14:paraId="359DE047" w14:textId="77777777" w:rsidR="00ED2C1F" w:rsidRPr="00C76309" w:rsidRDefault="00ED2C1F" w:rsidP="00C76309">
      <w:pPr>
        <w:rPr>
          <w:rFonts w:ascii="Arial" w:hAnsi="Arial" w:cs="Arial"/>
        </w:rPr>
      </w:pPr>
    </w:p>
    <w:p w14:paraId="04B1D22C" w14:textId="77777777" w:rsidR="00ED2C1F" w:rsidRPr="00C76309" w:rsidDel="00336D41" w:rsidRDefault="00ED2C1F" w:rsidP="005050BF">
      <w:pPr>
        <w:spacing w:after="80"/>
        <w:rPr>
          <w:rFonts w:ascii="Arial" w:hAnsi="Arial" w:cs="Arial"/>
        </w:rPr>
      </w:pPr>
      <w:r w:rsidRPr="00C76309">
        <w:rPr>
          <w:rFonts w:ascii="Arial" w:hAnsi="Arial" w:cs="Arial"/>
        </w:rPr>
        <w:t xml:space="preserve">Vermont’s PFS grant was </w:t>
      </w:r>
      <w:r w:rsidRPr="00C76309" w:rsidDel="00336D41">
        <w:rPr>
          <w:rFonts w:ascii="Arial" w:hAnsi="Arial" w:cs="Arial"/>
        </w:rPr>
        <w:t>aimed at the following objectives:</w:t>
      </w:r>
    </w:p>
    <w:p w14:paraId="73E4E1CB" w14:textId="77777777" w:rsidR="00ED2C1F" w:rsidRPr="00C76309" w:rsidDel="00336D41" w:rsidRDefault="00ED2C1F" w:rsidP="00C76309">
      <w:pPr>
        <w:pStyle w:val="ListParagraph"/>
        <w:numPr>
          <w:ilvl w:val="0"/>
          <w:numId w:val="4"/>
        </w:numPr>
        <w:ind w:left="720"/>
        <w:contextualSpacing/>
        <w:rPr>
          <w:rFonts w:ascii="Arial" w:hAnsi="Arial" w:cs="Arial"/>
        </w:rPr>
      </w:pPr>
      <w:r w:rsidRPr="00C76309" w:rsidDel="00336D41">
        <w:rPr>
          <w:rFonts w:ascii="Arial" w:hAnsi="Arial" w:cs="Arial"/>
        </w:rPr>
        <w:t>Reduce underage and binge drinking among persons aged 12 to 20,</w:t>
      </w:r>
    </w:p>
    <w:p w14:paraId="2EB730BE" w14:textId="77777777" w:rsidR="00ED2C1F" w:rsidRPr="00C76309" w:rsidDel="00336D41" w:rsidRDefault="00ED2C1F" w:rsidP="00C76309">
      <w:pPr>
        <w:pStyle w:val="ListParagraph"/>
        <w:numPr>
          <w:ilvl w:val="0"/>
          <w:numId w:val="4"/>
        </w:numPr>
        <w:ind w:left="720"/>
        <w:contextualSpacing/>
        <w:rPr>
          <w:rFonts w:ascii="Arial" w:hAnsi="Arial" w:cs="Arial"/>
        </w:rPr>
      </w:pPr>
      <w:r w:rsidRPr="00C76309" w:rsidDel="00336D41">
        <w:rPr>
          <w:rFonts w:ascii="Arial" w:hAnsi="Arial" w:cs="Arial"/>
        </w:rPr>
        <w:t>Reduce prescription drug misuse and abuse among persons aged 12 to 25, and</w:t>
      </w:r>
    </w:p>
    <w:p w14:paraId="44D5B693" w14:textId="77777777" w:rsidR="00ED2C1F" w:rsidRPr="00C76309" w:rsidRDefault="00ED2C1F" w:rsidP="00C76309">
      <w:pPr>
        <w:pStyle w:val="ListParagraph"/>
        <w:numPr>
          <w:ilvl w:val="0"/>
          <w:numId w:val="4"/>
        </w:numPr>
        <w:ind w:left="720"/>
        <w:contextualSpacing/>
        <w:rPr>
          <w:rFonts w:ascii="Arial" w:hAnsi="Arial" w:cs="Arial"/>
        </w:rPr>
      </w:pPr>
      <w:r w:rsidRPr="00C76309" w:rsidDel="00336D41">
        <w:rPr>
          <w:rFonts w:ascii="Arial" w:hAnsi="Arial" w:cs="Arial"/>
        </w:rPr>
        <w:t>Increase state, regional</w:t>
      </w:r>
      <w:r w:rsidR="002F1B17">
        <w:rPr>
          <w:rFonts w:ascii="Arial" w:hAnsi="Arial" w:cs="Arial"/>
        </w:rPr>
        <w:t>,</w:t>
      </w:r>
      <w:r w:rsidRPr="00C76309" w:rsidDel="00336D41">
        <w:rPr>
          <w:rFonts w:ascii="Arial" w:hAnsi="Arial" w:cs="Arial"/>
        </w:rPr>
        <w:t xml:space="preserve"> and community capacity to prevent underage drinking and prescription drug misuse by implementing a targeted regional approach.</w:t>
      </w:r>
    </w:p>
    <w:p w14:paraId="55C9FF2A" w14:textId="77777777" w:rsidR="00ED2C1F" w:rsidRPr="00C76309" w:rsidRDefault="00ED2C1F" w:rsidP="007F5001">
      <w:pPr>
        <w:pStyle w:val="ListParagraph"/>
        <w:ind w:left="0"/>
        <w:rPr>
          <w:rFonts w:ascii="Arial" w:hAnsi="Arial" w:cs="Arial"/>
          <w:b/>
          <w:bCs/>
        </w:rPr>
      </w:pPr>
    </w:p>
    <w:p w14:paraId="414EDF53" w14:textId="77777777" w:rsidR="00ED2C1F" w:rsidRPr="00C76309" w:rsidRDefault="00ED2C1F" w:rsidP="00F02297">
      <w:pPr>
        <w:pStyle w:val="H2"/>
      </w:pPr>
      <w:bookmarkStart w:id="2" w:name="_Toc470697737"/>
      <w:r w:rsidRPr="00C76309">
        <w:t>Allocation of grant funds</w:t>
      </w:r>
      <w:bookmarkEnd w:id="2"/>
      <w:r w:rsidRPr="00C76309">
        <w:t xml:space="preserve"> </w:t>
      </w:r>
    </w:p>
    <w:p w14:paraId="09DA50AB" w14:textId="77777777" w:rsidR="00ED2C1F" w:rsidRPr="00C76309" w:rsidRDefault="00ED2C1F" w:rsidP="007F5001">
      <w:pPr>
        <w:pStyle w:val="ListParagraph"/>
        <w:ind w:left="0"/>
        <w:rPr>
          <w:rFonts w:ascii="Arial" w:hAnsi="Arial" w:cs="Arial"/>
        </w:rPr>
      </w:pPr>
    </w:p>
    <w:p w14:paraId="1755579C" w14:textId="77777777" w:rsidR="00ED2C1F" w:rsidRPr="00C76309" w:rsidRDefault="00ED2C1F" w:rsidP="005050BF">
      <w:pPr>
        <w:spacing w:after="80"/>
        <w:rPr>
          <w:rFonts w:ascii="Arial" w:hAnsi="Arial" w:cs="Arial"/>
        </w:rPr>
      </w:pPr>
      <w:r w:rsidRPr="00C76309">
        <w:rPr>
          <w:rFonts w:ascii="Arial" w:hAnsi="Arial" w:cs="Arial"/>
        </w:rPr>
        <w:t xml:space="preserve">Previous </w:t>
      </w:r>
      <w:smartTag w:uri="urn:schemas-microsoft-com:office:smarttags" w:element="stockticker">
        <w:r w:rsidRPr="00C76309">
          <w:rPr>
            <w:rFonts w:ascii="Arial" w:hAnsi="Arial" w:cs="Arial"/>
          </w:rPr>
          <w:t>ADAP</w:t>
        </w:r>
      </w:smartTag>
      <w:r w:rsidRPr="00C76309">
        <w:rPr>
          <w:rFonts w:ascii="Arial" w:hAnsi="Arial" w:cs="Arial"/>
        </w:rPr>
        <w:t xml:space="preserve"> initiatives, including the </w:t>
      </w:r>
      <w:smartTag w:uri="urn:schemas-microsoft-com:office:smarttags" w:element="stockticker">
        <w:r w:rsidRPr="00C76309">
          <w:rPr>
            <w:rFonts w:ascii="Arial" w:hAnsi="Arial" w:cs="Arial"/>
          </w:rPr>
          <w:t>SPF</w:t>
        </w:r>
      </w:smartTag>
      <w:r w:rsidRPr="00C76309">
        <w:rPr>
          <w:rFonts w:ascii="Arial" w:hAnsi="Arial" w:cs="Arial"/>
        </w:rPr>
        <w:t>-SIG, have funded organizations that served individual communities</w:t>
      </w:r>
      <w:r w:rsidR="002F1B17">
        <w:rPr>
          <w:rFonts w:ascii="Arial" w:hAnsi="Arial" w:cs="Arial"/>
        </w:rPr>
        <w:t xml:space="preserve"> or small groups of communities</w:t>
      </w:r>
      <w:r w:rsidRPr="00C76309">
        <w:rPr>
          <w:rFonts w:ascii="Arial" w:hAnsi="Arial" w:cs="Arial"/>
        </w:rPr>
        <w:t>.  In order to more efficiently administer the PFS funds, and to be able to more easily expand future funding to all areas of the state</w:t>
      </w:r>
      <w:r w:rsidR="00D95D0E">
        <w:rPr>
          <w:rFonts w:ascii="Arial" w:hAnsi="Arial" w:cs="Arial"/>
        </w:rPr>
        <w:t>, the PFS was designed to build</w:t>
      </w:r>
      <w:r w:rsidRPr="00C76309">
        <w:rPr>
          <w:rFonts w:ascii="Arial" w:hAnsi="Arial" w:cs="Arial"/>
        </w:rPr>
        <w:t xml:space="preserve"> a regional approach to substance abuse prevention.  Specifically, </w:t>
      </w:r>
      <w:smartTag w:uri="urn:schemas-microsoft-com:office:smarttags" w:element="stockticker">
        <w:r w:rsidRPr="00C76309">
          <w:rPr>
            <w:rFonts w:ascii="Arial" w:hAnsi="Arial" w:cs="Arial"/>
          </w:rPr>
          <w:t>ADAP</w:t>
        </w:r>
      </w:smartTag>
      <w:r w:rsidRPr="00C76309">
        <w:rPr>
          <w:rFonts w:ascii="Arial" w:hAnsi="Arial" w:cs="Arial"/>
        </w:rPr>
        <w:t xml:space="preserve"> chose to allocate PFS funds to six regions of the state and to utilize the existing infrastructure of the VDH District Offices to coordinate implementation of the project.  These regions were defined either as counties or as VDH Health Districts, and included:</w:t>
      </w:r>
    </w:p>
    <w:p w14:paraId="128C8680" w14:textId="77777777" w:rsidR="00ED2C1F" w:rsidRPr="00C76309" w:rsidRDefault="00ED2C1F" w:rsidP="005050BF">
      <w:pPr>
        <w:pStyle w:val="ListParagraph"/>
        <w:numPr>
          <w:ilvl w:val="0"/>
          <w:numId w:val="7"/>
        </w:numPr>
        <w:rPr>
          <w:rFonts w:ascii="Arial" w:hAnsi="Arial" w:cs="Arial"/>
        </w:rPr>
      </w:pPr>
      <w:r w:rsidRPr="00C76309">
        <w:rPr>
          <w:rFonts w:ascii="Arial" w:hAnsi="Arial" w:cs="Arial"/>
        </w:rPr>
        <w:t>Chittenden County</w:t>
      </w:r>
    </w:p>
    <w:p w14:paraId="34109526" w14:textId="77777777" w:rsidR="00ED2C1F" w:rsidRPr="00C76309" w:rsidRDefault="00ED2C1F" w:rsidP="005050BF">
      <w:pPr>
        <w:pStyle w:val="ListParagraph"/>
        <w:numPr>
          <w:ilvl w:val="0"/>
          <w:numId w:val="7"/>
        </w:numPr>
        <w:rPr>
          <w:rFonts w:ascii="Arial" w:hAnsi="Arial" w:cs="Arial"/>
        </w:rPr>
      </w:pPr>
      <w:r w:rsidRPr="00C76309">
        <w:rPr>
          <w:rFonts w:ascii="Arial" w:hAnsi="Arial" w:cs="Arial"/>
        </w:rPr>
        <w:t>Morrisville Health District</w:t>
      </w:r>
    </w:p>
    <w:p w14:paraId="7B369291" w14:textId="77777777" w:rsidR="00ED2C1F" w:rsidRPr="00C76309" w:rsidRDefault="00ED2C1F" w:rsidP="005050BF">
      <w:pPr>
        <w:pStyle w:val="ListParagraph"/>
        <w:numPr>
          <w:ilvl w:val="0"/>
          <w:numId w:val="7"/>
        </w:numPr>
        <w:rPr>
          <w:rFonts w:ascii="Arial" w:hAnsi="Arial" w:cs="Arial"/>
        </w:rPr>
      </w:pPr>
      <w:r w:rsidRPr="00C76309">
        <w:rPr>
          <w:rFonts w:ascii="Arial" w:hAnsi="Arial" w:cs="Arial"/>
        </w:rPr>
        <w:t>Rutland County</w:t>
      </w:r>
    </w:p>
    <w:p w14:paraId="77A1B49E" w14:textId="77777777" w:rsidR="00ED2C1F" w:rsidRPr="00C76309" w:rsidRDefault="00ED2C1F" w:rsidP="005050BF">
      <w:pPr>
        <w:pStyle w:val="ListParagraph"/>
        <w:numPr>
          <w:ilvl w:val="0"/>
          <w:numId w:val="7"/>
        </w:numPr>
        <w:rPr>
          <w:rFonts w:ascii="Arial" w:hAnsi="Arial" w:cs="Arial"/>
        </w:rPr>
      </w:pPr>
      <w:r w:rsidRPr="00C76309">
        <w:rPr>
          <w:rFonts w:ascii="Arial" w:hAnsi="Arial" w:cs="Arial"/>
        </w:rPr>
        <w:t>Washington County</w:t>
      </w:r>
    </w:p>
    <w:p w14:paraId="119AF9A0" w14:textId="77777777" w:rsidR="00ED2C1F" w:rsidRPr="00C76309" w:rsidRDefault="00ED2C1F" w:rsidP="005050BF">
      <w:pPr>
        <w:pStyle w:val="ListParagraph"/>
        <w:numPr>
          <w:ilvl w:val="0"/>
          <w:numId w:val="7"/>
        </w:numPr>
        <w:rPr>
          <w:rFonts w:ascii="Arial" w:hAnsi="Arial" w:cs="Arial"/>
        </w:rPr>
      </w:pPr>
      <w:r w:rsidRPr="00C76309">
        <w:rPr>
          <w:rFonts w:ascii="Arial" w:hAnsi="Arial" w:cs="Arial"/>
        </w:rPr>
        <w:t>Windham County</w:t>
      </w:r>
    </w:p>
    <w:p w14:paraId="01673C15" w14:textId="77777777" w:rsidR="00ED2C1F" w:rsidRPr="00C76309" w:rsidRDefault="00ED2C1F" w:rsidP="005050BF">
      <w:pPr>
        <w:pStyle w:val="ListParagraph"/>
        <w:numPr>
          <w:ilvl w:val="0"/>
          <w:numId w:val="7"/>
        </w:numPr>
        <w:rPr>
          <w:rFonts w:ascii="Arial" w:hAnsi="Arial" w:cs="Arial"/>
        </w:rPr>
      </w:pPr>
      <w:r w:rsidRPr="00C76309">
        <w:rPr>
          <w:rFonts w:ascii="Arial" w:hAnsi="Arial" w:cs="Arial"/>
        </w:rPr>
        <w:t>Windsor County</w:t>
      </w:r>
    </w:p>
    <w:p w14:paraId="707893A5" w14:textId="77777777" w:rsidR="00ED2C1F" w:rsidRPr="00C76309" w:rsidRDefault="00ED2C1F" w:rsidP="007F5001">
      <w:pPr>
        <w:pStyle w:val="ListParagraph"/>
        <w:ind w:left="0"/>
        <w:rPr>
          <w:rFonts w:ascii="Arial" w:hAnsi="Arial" w:cs="Arial"/>
        </w:rPr>
      </w:pPr>
    </w:p>
    <w:p w14:paraId="5CC50C9D" w14:textId="77777777" w:rsidR="00ED2C1F" w:rsidRPr="00C76309" w:rsidRDefault="00ED2C1F" w:rsidP="007F5001">
      <w:pPr>
        <w:rPr>
          <w:rFonts w:ascii="Arial" w:hAnsi="Arial" w:cs="Arial"/>
        </w:rPr>
      </w:pPr>
      <w:r w:rsidRPr="00C76309">
        <w:rPr>
          <w:rFonts w:ascii="Arial" w:hAnsi="Arial" w:cs="Arial"/>
        </w:rPr>
        <w:t>VDH District Directors (DDs) in the six funded regions took the lead on developing a regional strategic plan and the selection of a community agency to be the fiscal</w:t>
      </w:r>
      <w:r w:rsidR="00FC168D">
        <w:rPr>
          <w:rFonts w:ascii="Arial" w:hAnsi="Arial" w:cs="Arial"/>
        </w:rPr>
        <w:t xml:space="preserve"> agent and “lead agency” for each</w:t>
      </w:r>
      <w:r w:rsidRPr="00C76309">
        <w:rPr>
          <w:rFonts w:ascii="Arial" w:hAnsi="Arial" w:cs="Arial"/>
        </w:rPr>
        <w:t xml:space="preserve"> region’s PFS work.  These lead agencies were responsible for all fiscal management and reporting to </w:t>
      </w:r>
      <w:smartTag w:uri="urn:schemas-microsoft-com:office:smarttags" w:element="stockticker">
        <w:r w:rsidRPr="00C76309">
          <w:rPr>
            <w:rFonts w:ascii="Arial" w:hAnsi="Arial" w:cs="Arial"/>
          </w:rPr>
          <w:t>ADAP</w:t>
        </w:r>
      </w:smartTag>
      <w:r w:rsidRPr="00C76309">
        <w:rPr>
          <w:rFonts w:ascii="Arial" w:hAnsi="Arial" w:cs="Arial"/>
        </w:rPr>
        <w:t xml:space="preserve"> for the project and were able to sub-grant to other community agencies as needed to implement portions of the strategic plan.  </w:t>
      </w:r>
      <w:smartTag w:uri="urn:schemas-microsoft-com:office:smarttags" w:element="stockticker">
        <w:r w:rsidRPr="00C76309">
          <w:rPr>
            <w:rFonts w:ascii="Arial" w:hAnsi="Arial" w:cs="Arial"/>
          </w:rPr>
          <w:t>ADAP</w:t>
        </w:r>
      </w:smartTag>
      <w:r w:rsidRPr="00C76309">
        <w:rPr>
          <w:rFonts w:ascii="Arial" w:hAnsi="Arial" w:cs="Arial"/>
        </w:rPr>
        <w:t xml:space="preserve">’s regionally assigned Prevention Consultants (PCs) assisted with the development of the regional plans and served as a resource and technical assistance provider to the lead agencies and sub-grantee organizations. </w:t>
      </w:r>
    </w:p>
    <w:p w14:paraId="240F19D7" w14:textId="004A3F6C" w:rsidR="00ED2C1F" w:rsidRPr="00C76309" w:rsidRDefault="00835FA5" w:rsidP="00F02297">
      <w:pPr>
        <w:pStyle w:val="H1"/>
      </w:pPr>
      <w:bookmarkStart w:id="3" w:name="_Toc470697738"/>
      <w:r>
        <w:lastRenderedPageBreak/>
        <w:t>Prevention Strategies I</w:t>
      </w:r>
      <w:r w:rsidR="00ED2C1F" w:rsidRPr="00C76309">
        <w:t>mplemented</w:t>
      </w:r>
      <w:bookmarkEnd w:id="3"/>
      <w:r w:rsidR="00ED2C1F" w:rsidRPr="00C76309">
        <w:t xml:space="preserve"> </w:t>
      </w:r>
    </w:p>
    <w:p w14:paraId="725F0ED1" w14:textId="77777777" w:rsidR="00ED2C1F" w:rsidRPr="00C76309" w:rsidRDefault="00ED2C1F" w:rsidP="00C76309">
      <w:pPr>
        <w:pStyle w:val="ListParagraph"/>
        <w:ind w:left="360"/>
        <w:rPr>
          <w:rFonts w:ascii="Arial" w:hAnsi="Arial" w:cs="Arial"/>
        </w:rPr>
      </w:pPr>
    </w:p>
    <w:p w14:paraId="43C84D3B" w14:textId="77777777" w:rsidR="00ED2C1F" w:rsidRPr="00C76309" w:rsidRDefault="00ED2C1F" w:rsidP="00AA76D5">
      <w:pPr>
        <w:rPr>
          <w:rFonts w:ascii="Arial" w:hAnsi="Arial" w:cs="Arial"/>
        </w:rPr>
      </w:pPr>
      <w:r w:rsidRPr="00AA76D5">
        <w:rPr>
          <w:rFonts w:ascii="Arial" w:hAnsi="Arial" w:cs="Arial"/>
        </w:rPr>
        <w:t xml:space="preserve">PFS grantees were provided with a guidance document </w:t>
      </w:r>
      <w:r w:rsidR="002B02CD">
        <w:rPr>
          <w:rFonts w:ascii="Arial" w:hAnsi="Arial" w:cs="Arial"/>
        </w:rPr>
        <w:t xml:space="preserve">prepared by ADAP </w:t>
      </w:r>
      <w:r w:rsidRPr="00AA76D5">
        <w:rPr>
          <w:rFonts w:ascii="Arial" w:hAnsi="Arial" w:cs="Arial"/>
        </w:rPr>
        <w:t xml:space="preserve">that included instructions on following each of the </w:t>
      </w:r>
      <w:smartTag w:uri="urn:schemas-microsoft-com:office:smarttags" w:element="stockticker">
        <w:r w:rsidRPr="00AA76D5">
          <w:rPr>
            <w:rFonts w:ascii="Arial" w:hAnsi="Arial" w:cs="Arial"/>
          </w:rPr>
          <w:t>SPF</w:t>
        </w:r>
      </w:smartTag>
      <w:r w:rsidRPr="00AA76D5">
        <w:rPr>
          <w:rFonts w:ascii="Arial" w:hAnsi="Arial" w:cs="Arial"/>
        </w:rPr>
        <w:t xml:space="preserve"> steps, as well as a menu of both required and optional evidence-based interventions and supporting activities to be implemented </w:t>
      </w:r>
      <w:r w:rsidR="002F1B17">
        <w:rPr>
          <w:rFonts w:ascii="Arial" w:hAnsi="Arial" w:cs="Arial"/>
        </w:rPr>
        <w:t xml:space="preserve">within their </w:t>
      </w:r>
      <w:r w:rsidRPr="00AA76D5">
        <w:rPr>
          <w:rFonts w:ascii="Arial" w:hAnsi="Arial" w:cs="Arial"/>
        </w:rPr>
        <w:t>region</w:t>
      </w:r>
      <w:r w:rsidR="002F1B17">
        <w:rPr>
          <w:rFonts w:ascii="Arial" w:hAnsi="Arial" w:cs="Arial"/>
        </w:rPr>
        <w:t>s</w:t>
      </w:r>
      <w:r w:rsidRPr="00AA76D5">
        <w:rPr>
          <w:rFonts w:ascii="Arial" w:hAnsi="Arial" w:cs="Arial"/>
        </w:rPr>
        <w:t xml:space="preserve">. The required interventions were all designed to potentially affect large proportions of the target population.  </w:t>
      </w:r>
      <w:r w:rsidR="00AA76D5" w:rsidRPr="00AA76D5">
        <w:rPr>
          <w:rFonts w:ascii="Arial" w:hAnsi="Arial" w:cs="Arial"/>
        </w:rPr>
        <w:t>They included community</w:t>
      </w:r>
      <w:r w:rsidR="00FC168D">
        <w:rPr>
          <w:rFonts w:ascii="Arial" w:hAnsi="Arial" w:cs="Arial"/>
        </w:rPr>
        <w:t>-wide</w:t>
      </w:r>
      <w:r w:rsidR="00AA76D5" w:rsidRPr="00AA76D5">
        <w:rPr>
          <w:rFonts w:ascii="Arial" w:hAnsi="Arial" w:cs="Arial"/>
        </w:rPr>
        <w:t xml:space="preserve"> information dissemination and outreach, media advocacy, and other environmentally-focused strategies such as education on policy approaches to prevention and support for enhanced enforcement of alcohol laws.  Many of the </w:t>
      </w:r>
      <w:r w:rsidRPr="00C76309">
        <w:rPr>
          <w:rFonts w:ascii="Arial" w:hAnsi="Arial" w:cs="Arial"/>
        </w:rPr>
        <w:t>optional interventions, on the other hand, were educational programs of varying size that focus</w:t>
      </w:r>
      <w:r w:rsidR="00AA76D5">
        <w:rPr>
          <w:rFonts w:ascii="Arial" w:hAnsi="Arial" w:cs="Arial"/>
        </w:rPr>
        <w:t>ed</w:t>
      </w:r>
      <w:r w:rsidRPr="00C76309">
        <w:rPr>
          <w:rFonts w:ascii="Arial" w:hAnsi="Arial" w:cs="Arial"/>
        </w:rPr>
        <w:t xml:space="preserve"> directly on the provision of information and skills to individual participants.</w:t>
      </w:r>
    </w:p>
    <w:p w14:paraId="76479A16" w14:textId="77777777" w:rsidR="00ED2C1F" w:rsidRPr="00C76309" w:rsidRDefault="00ED2C1F" w:rsidP="007F5001">
      <w:pPr>
        <w:pStyle w:val="ListParagraph"/>
        <w:ind w:left="0"/>
        <w:rPr>
          <w:rFonts w:ascii="Arial" w:hAnsi="Arial" w:cs="Arial"/>
        </w:rPr>
      </w:pPr>
    </w:p>
    <w:p w14:paraId="33EF2D09" w14:textId="399B091D" w:rsidR="00ED2C1F" w:rsidRPr="00C76309" w:rsidRDefault="005050BF" w:rsidP="00AA76D5">
      <w:pPr>
        <w:rPr>
          <w:rFonts w:ascii="Arial" w:hAnsi="Arial" w:cs="Arial"/>
        </w:rPr>
      </w:pPr>
      <w:r>
        <w:rPr>
          <w:rFonts w:ascii="Arial" w:hAnsi="Arial" w:cs="Arial"/>
        </w:rPr>
        <w:t xml:space="preserve">After completing a </w:t>
      </w:r>
      <w:r w:rsidR="00ED2C1F" w:rsidRPr="00AA76D5">
        <w:rPr>
          <w:rFonts w:ascii="Arial" w:hAnsi="Arial" w:cs="Arial"/>
        </w:rPr>
        <w:t xml:space="preserve">needs assessment including a review of local data on underage drinking and prescription drug misuse, </w:t>
      </w:r>
      <w:r w:rsidR="00AA76D5" w:rsidRPr="00AA76D5">
        <w:rPr>
          <w:rFonts w:ascii="Arial" w:hAnsi="Arial" w:cs="Arial"/>
        </w:rPr>
        <w:t xml:space="preserve">each PFS region selected a set of interventions </w:t>
      </w:r>
      <w:r w:rsidR="00EE0E14">
        <w:rPr>
          <w:rFonts w:ascii="Arial" w:hAnsi="Arial" w:cs="Arial"/>
        </w:rPr>
        <w:t xml:space="preserve">from the menu </w:t>
      </w:r>
      <w:r w:rsidR="00AA76D5" w:rsidRPr="00AA76D5">
        <w:rPr>
          <w:rFonts w:ascii="Arial" w:hAnsi="Arial" w:cs="Arial"/>
        </w:rPr>
        <w:t xml:space="preserve">they intended to implement and </w:t>
      </w:r>
      <w:r w:rsidR="004F0B95">
        <w:rPr>
          <w:rFonts w:ascii="Arial" w:hAnsi="Arial" w:cs="Arial"/>
        </w:rPr>
        <w:t xml:space="preserve">then </w:t>
      </w:r>
      <w:r w:rsidR="00AA76D5" w:rsidRPr="00AA76D5">
        <w:rPr>
          <w:rFonts w:ascii="Arial" w:hAnsi="Arial" w:cs="Arial"/>
        </w:rPr>
        <w:t>developed a work plan for each.  Th</w:t>
      </w:r>
      <w:r w:rsidR="00AA76D5">
        <w:rPr>
          <w:rFonts w:ascii="Arial" w:hAnsi="Arial" w:cs="Arial"/>
        </w:rPr>
        <w:t xml:space="preserve">e work plans included key </w:t>
      </w:r>
      <w:r w:rsidR="00ED2C1F" w:rsidRPr="00C76309">
        <w:rPr>
          <w:rFonts w:ascii="Arial" w:hAnsi="Arial" w:cs="Arial"/>
        </w:rPr>
        <w:t>tasks required to implement each intervention with fidelity as well as a timeline for the completion of each task</w:t>
      </w:r>
      <w:r>
        <w:rPr>
          <w:rFonts w:ascii="Arial" w:hAnsi="Arial" w:cs="Arial"/>
        </w:rPr>
        <w:t xml:space="preserve">.  Interventions </w:t>
      </w:r>
      <w:r w:rsidR="004F0B95">
        <w:rPr>
          <w:rFonts w:ascii="Arial" w:hAnsi="Arial" w:cs="Arial"/>
        </w:rPr>
        <w:t xml:space="preserve">and supporting activities </w:t>
      </w:r>
      <w:r w:rsidR="00ED2C1F" w:rsidRPr="00C76309">
        <w:rPr>
          <w:rFonts w:ascii="Arial" w:hAnsi="Arial" w:cs="Arial"/>
        </w:rPr>
        <w:t xml:space="preserve">implemented </w:t>
      </w:r>
      <w:r w:rsidR="004F0B95">
        <w:rPr>
          <w:rFonts w:ascii="Arial" w:hAnsi="Arial" w:cs="Arial"/>
        </w:rPr>
        <w:t xml:space="preserve">by each region are shown in </w:t>
      </w:r>
      <w:r w:rsidR="00ED2C1F" w:rsidRPr="00C76309">
        <w:rPr>
          <w:rFonts w:ascii="Arial" w:hAnsi="Arial" w:cs="Arial"/>
        </w:rPr>
        <w:t>Table A1</w:t>
      </w:r>
      <w:r>
        <w:rPr>
          <w:rFonts w:ascii="Arial" w:hAnsi="Arial" w:cs="Arial"/>
        </w:rPr>
        <w:t xml:space="preserve"> (attached).</w:t>
      </w:r>
    </w:p>
    <w:p w14:paraId="799F9399" w14:textId="77777777" w:rsidR="00ED2C1F" w:rsidRPr="00C76309" w:rsidRDefault="00ED2C1F" w:rsidP="007F5001">
      <w:pPr>
        <w:pStyle w:val="ListParagraph"/>
        <w:ind w:left="0"/>
        <w:rPr>
          <w:rFonts w:ascii="Arial" w:hAnsi="Arial" w:cs="Arial"/>
          <w:b/>
          <w:bCs/>
        </w:rPr>
      </w:pPr>
    </w:p>
    <w:p w14:paraId="79EE52E8" w14:textId="77777777" w:rsidR="00ED2C1F" w:rsidRPr="00C76309" w:rsidRDefault="00FC168D" w:rsidP="007F5001">
      <w:pPr>
        <w:pStyle w:val="ListParagraph"/>
        <w:ind w:left="0"/>
        <w:rPr>
          <w:rFonts w:ascii="Arial" w:hAnsi="Arial" w:cs="Arial"/>
        </w:rPr>
      </w:pPr>
      <w:r>
        <w:rPr>
          <w:rFonts w:ascii="Arial" w:hAnsi="Arial" w:cs="Arial"/>
        </w:rPr>
        <w:t>Education on p</w:t>
      </w:r>
      <w:r w:rsidR="00ED2C1F" w:rsidRPr="00C76309">
        <w:rPr>
          <w:rFonts w:ascii="Arial" w:hAnsi="Arial" w:cs="Arial"/>
        </w:rPr>
        <w:t>olicy approaches to reduce underage drinking was a required strategy, but there was variation in the types of policy approaches pursued across grantees.  The most common type of policy that grantees worked on at the municipal level was restrictions on alcohol use in public places or community events.  Though only three new policies were adopted by municipalities during the project (one related to restrictions on alcohol outl</w:t>
      </w:r>
      <w:r>
        <w:rPr>
          <w:rFonts w:ascii="Arial" w:hAnsi="Arial" w:cs="Arial"/>
        </w:rPr>
        <w:t>ets, one zoning regulation that</w:t>
      </w:r>
      <w:r w:rsidR="00ED2C1F" w:rsidRPr="00C76309">
        <w:rPr>
          <w:rFonts w:ascii="Arial" w:hAnsi="Arial" w:cs="Arial"/>
        </w:rPr>
        <w:t xml:space="preserve"> clarifies what qualifies as a restaurant v</w:t>
      </w:r>
      <w:r w:rsidR="00AA76D5">
        <w:rPr>
          <w:rFonts w:ascii="Arial" w:hAnsi="Arial" w:cs="Arial"/>
        </w:rPr>
        <w:t xml:space="preserve">ersus </w:t>
      </w:r>
      <w:r w:rsidR="00ED2C1F" w:rsidRPr="00C76309">
        <w:rPr>
          <w:rFonts w:ascii="Arial" w:hAnsi="Arial" w:cs="Arial"/>
        </w:rPr>
        <w:t>a bar, and one open container ordinance)</w:t>
      </w:r>
      <w:r w:rsidR="000C64CB">
        <w:rPr>
          <w:rFonts w:ascii="Arial" w:hAnsi="Arial" w:cs="Arial"/>
        </w:rPr>
        <w:t>,</w:t>
      </w:r>
      <w:r w:rsidR="00ED2C1F" w:rsidRPr="00C76309">
        <w:rPr>
          <w:rFonts w:ascii="Arial" w:hAnsi="Arial" w:cs="Arial"/>
        </w:rPr>
        <w:t xml:space="preserve"> several grantees had some success engaging with their regional planning commissions to find ways to incorporate prevention language into regional and town plans, which could have </w:t>
      </w:r>
      <w:r w:rsidR="00BA696E">
        <w:rPr>
          <w:rFonts w:ascii="Arial" w:hAnsi="Arial" w:cs="Arial"/>
        </w:rPr>
        <w:t xml:space="preserve">a </w:t>
      </w:r>
      <w:r w:rsidR="00ED2C1F" w:rsidRPr="00C76309">
        <w:rPr>
          <w:rFonts w:ascii="Arial" w:hAnsi="Arial" w:cs="Arial"/>
        </w:rPr>
        <w:t xml:space="preserve">long-term impact.  The most commonly chosen optional strategies/activities included parent education programs and Sticker Shock.  </w:t>
      </w:r>
      <w:r w:rsidR="00BA696E">
        <w:rPr>
          <w:rFonts w:ascii="Arial" w:hAnsi="Arial" w:cs="Arial"/>
        </w:rPr>
        <w:t>A f</w:t>
      </w:r>
      <w:r w:rsidR="00ED2C1F" w:rsidRPr="00C76309">
        <w:rPr>
          <w:rFonts w:ascii="Arial" w:hAnsi="Arial" w:cs="Arial"/>
        </w:rPr>
        <w:t xml:space="preserve">ew grantees selected electronic screening and brief intervention (e.g. Alcohol Edu, eCheckup) and no grantees chose to expand school-based substance abuse prevention services through this project.  </w:t>
      </w:r>
    </w:p>
    <w:p w14:paraId="46EF9813" w14:textId="77777777" w:rsidR="00ED2C1F" w:rsidRPr="00C76309" w:rsidRDefault="00ED2C1F" w:rsidP="007F5001">
      <w:pPr>
        <w:pStyle w:val="ListParagraph"/>
        <w:ind w:left="0"/>
        <w:rPr>
          <w:rFonts w:ascii="Arial" w:hAnsi="Arial" w:cs="Arial"/>
        </w:rPr>
      </w:pPr>
    </w:p>
    <w:p w14:paraId="70A9EC3D" w14:textId="277B0CAE" w:rsidR="00FE4036" w:rsidRDefault="00ED2C1F" w:rsidP="00FE4036">
      <w:pPr>
        <w:pStyle w:val="ListParagraph"/>
        <w:ind w:left="0"/>
        <w:rPr>
          <w:rFonts w:ascii="Arial" w:hAnsi="Arial" w:cs="Arial"/>
        </w:rPr>
      </w:pPr>
      <w:r w:rsidRPr="00C76309">
        <w:rPr>
          <w:rFonts w:ascii="Arial" w:hAnsi="Arial" w:cs="Arial"/>
        </w:rPr>
        <w:t xml:space="preserve">Implementation and </w:t>
      </w:r>
      <w:r w:rsidR="00EE0E14">
        <w:rPr>
          <w:rFonts w:ascii="Arial" w:hAnsi="Arial" w:cs="Arial"/>
        </w:rPr>
        <w:t xml:space="preserve">other </w:t>
      </w:r>
      <w:r w:rsidRPr="00C76309">
        <w:rPr>
          <w:rFonts w:ascii="Arial" w:hAnsi="Arial" w:cs="Arial"/>
        </w:rPr>
        <w:t>process measures were collected and monitored through an online reporting tool called the Community Grantee Reporting S</w:t>
      </w:r>
      <w:r w:rsidR="00EE0E14">
        <w:rPr>
          <w:rFonts w:ascii="Arial" w:hAnsi="Arial" w:cs="Arial"/>
        </w:rPr>
        <w:t>ystem (CGRS).  Grantees provided narratives described</w:t>
      </w:r>
      <w:r w:rsidRPr="00C76309">
        <w:rPr>
          <w:rFonts w:ascii="Arial" w:hAnsi="Arial" w:cs="Arial"/>
        </w:rPr>
        <w:t xml:space="preserve"> their progress </w:t>
      </w:r>
      <w:r w:rsidR="00EE0E14">
        <w:rPr>
          <w:rFonts w:ascii="Arial" w:hAnsi="Arial" w:cs="Arial"/>
        </w:rPr>
        <w:t xml:space="preserve">each </w:t>
      </w:r>
      <w:r w:rsidRPr="00C76309">
        <w:rPr>
          <w:rFonts w:ascii="Arial" w:hAnsi="Arial" w:cs="Arial"/>
        </w:rPr>
        <w:t xml:space="preserve">quarter, and every six months </w:t>
      </w:r>
      <w:r w:rsidR="00EE0E14">
        <w:rPr>
          <w:rFonts w:ascii="Arial" w:hAnsi="Arial" w:cs="Arial"/>
        </w:rPr>
        <w:t xml:space="preserve">provided progress ratings </w:t>
      </w:r>
      <w:r w:rsidRPr="00C76309">
        <w:rPr>
          <w:rFonts w:ascii="Arial" w:hAnsi="Arial" w:cs="Arial"/>
        </w:rPr>
        <w:t xml:space="preserve">on each task identified in their work plans </w:t>
      </w:r>
      <w:r w:rsidR="00EE0E14">
        <w:rPr>
          <w:rFonts w:ascii="Arial" w:hAnsi="Arial" w:cs="Arial"/>
        </w:rPr>
        <w:t xml:space="preserve">for all active interventions.  They also reported </w:t>
      </w:r>
      <w:r w:rsidRPr="00C76309">
        <w:rPr>
          <w:rFonts w:ascii="Arial" w:hAnsi="Arial" w:cs="Arial"/>
        </w:rPr>
        <w:t xml:space="preserve">specific process measures such as number of individuals reached, number and types of media messages distributed, etc.  </w:t>
      </w:r>
      <w:smartTag w:uri="urn:schemas-microsoft-com:office:smarttags" w:element="stockticker">
        <w:r w:rsidRPr="00C76309">
          <w:rPr>
            <w:rFonts w:ascii="Arial" w:hAnsi="Arial" w:cs="Arial"/>
          </w:rPr>
          <w:t>ADAP</w:t>
        </w:r>
      </w:smartTag>
      <w:r w:rsidRPr="00C76309">
        <w:rPr>
          <w:rFonts w:ascii="Arial" w:hAnsi="Arial" w:cs="Arial"/>
        </w:rPr>
        <w:t xml:space="preserve"> staff and PIRE reviewed these reports and worked with grantees to address any implementation issues and/or any identified training and technical assistance needs.</w:t>
      </w:r>
      <w:r w:rsidR="00FE4036">
        <w:rPr>
          <w:rFonts w:ascii="Arial" w:hAnsi="Arial" w:cs="Arial"/>
        </w:rPr>
        <w:t xml:space="preserve">  </w:t>
      </w:r>
      <w:r w:rsidR="00BA696E">
        <w:rPr>
          <w:rFonts w:ascii="Arial" w:hAnsi="Arial" w:cs="Arial"/>
        </w:rPr>
        <w:t xml:space="preserve">Although </w:t>
      </w:r>
      <w:r w:rsidR="00FE4036" w:rsidRPr="00FE4036">
        <w:rPr>
          <w:rFonts w:ascii="Arial" w:hAnsi="Arial" w:cs="Arial"/>
        </w:rPr>
        <w:t xml:space="preserve">there was no </w:t>
      </w:r>
      <w:r w:rsidR="00BA696E">
        <w:rPr>
          <w:rFonts w:ascii="Arial" w:hAnsi="Arial" w:cs="Arial"/>
        </w:rPr>
        <w:t xml:space="preserve">direct onsite </w:t>
      </w:r>
      <w:r w:rsidR="00FE4036" w:rsidRPr="00FE4036">
        <w:rPr>
          <w:rFonts w:ascii="Arial" w:hAnsi="Arial" w:cs="Arial"/>
        </w:rPr>
        <w:t>assessment of the quality of implementation as part of the evaluation, ADAP, District Office staff</w:t>
      </w:r>
      <w:r w:rsidR="002F1B17">
        <w:rPr>
          <w:rFonts w:ascii="Arial" w:hAnsi="Arial" w:cs="Arial"/>
        </w:rPr>
        <w:t>,</w:t>
      </w:r>
      <w:r w:rsidR="00FE4036" w:rsidRPr="00FE4036">
        <w:rPr>
          <w:rFonts w:ascii="Arial" w:hAnsi="Arial" w:cs="Arial"/>
        </w:rPr>
        <w:t xml:space="preserve"> and PIRE reviewed these reports and worked with grantees continuously through regular communication and annual site visits to address any implementation issues, improve implementation fidelity</w:t>
      </w:r>
      <w:r w:rsidR="000C64CB">
        <w:rPr>
          <w:rFonts w:ascii="Arial" w:hAnsi="Arial" w:cs="Arial"/>
        </w:rPr>
        <w:t>,</w:t>
      </w:r>
      <w:r w:rsidR="00FE4036" w:rsidRPr="00FE4036">
        <w:rPr>
          <w:rFonts w:ascii="Arial" w:hAnsi="Arial" w:cs="Arial"/>
        </w:rPr>
        <w:t xml:space="preserve"> and identify and address training and technical assistance needs. </w:t>
      </w:r>
    </w:p>
    <w:p w14:paraId="6741C49B" w14:textId="77777777" w:rsidR="005050BF" w:rsidRDefault="005050BF" w:rsidP="00FE4036">
      <w:pPr>
        <w:pStyle w:val="ListParagraph"/>
        <w:ind w:left="0"/>
        <w:rPr>
          <w:rFonts w:ascii="Arial" w:hAnsi="Arial" w:cs="Arial"/>
        </w:rPr>
      </w:pPr>
    </w:p>
    <w:p w14:paraId="79F019E6" w14:textId="1AD4B741" w:rsidR="005050BF" w:rsidRPr="005050BF" w:rsidRDefault="000D49E4" w:rsidP="005050BF">
      <w:pPr>
        <w:rPr>
          <w:rFonts w:ascii="Arial" w:hAnsi="Arial" w:cs="Arial"/>
          <w:color w:val="000000"/>
        </w:rPr>
      </w:pPr>
      <w:r>
        <w:rPr>
          <w:rFonts w:ascii="Arial" w:hAnsi="Arial" w:cs="Arial"/>
          <w:color w:val="000000"/>
        </w:rPr>
        <w:t xml:space="preserve">Based on </w:t>
      </w:r>
      <w:r w:rsidR="005050BF" w:rsidRPr="005050BF">
        <w:rPr>
          <w:rFonts w:ascii="Arial" w:hAnsi="Arial" w:cs="Arial"/>
          <w:color w:val="000000"/>
        </w:rPr>
        <w:t>CGRS data and additional information obtained through these efforts, grantees were able to either successfully complete or otherwise make signifi</w:t>
      </w:r>
      <w:r>
        <w:rPr>
          <w:rFonts w:ascii="Arial" w:hAnsi="Arial" w:cs="Arial"/>
          <w:color w:val="000000"/>
        </w:rPr>
        <w:t>cant progress on most of the core</w:t>
      </w:r>
      <w:r w:rsidR="005050BF" w:rsidRPr="005050BF">
        <w:rPr>
          <w:rFonts w:ascii="Arial" w:hAnsi="Arial" w:cs="Arial"/>
          <w:color w:val="000000"/>
        </w:rPr>
        <w:t xml:space="preserve"> activities for the majority of interventions they implemented.  Grantees </w:t>
      </w:r>
      <w:r>
        <w:rPr>
          <w:rFonts w:ascii="Arial" w:hAnsi="Arial" w:cs="Arial"/>
          <w:color w:val="000000"/>
        </w:rPr>
        <w:t>also identified</w:t>
      </w:r>
      <w:r w:rsidR="005050BF" w:rsidRPr="005050BF">
        <w:rPr>
          <w:rFonts w:ascii="Arial" w:hAnsi="Arial" w:cs="Arial"/>
          <w:color w:val="000000"/>
        </w:rPr>
        <w:t xml:space="preserve"> several common implementation challenges encount</w:t>
      </w:r>
      <w:r w:rsidR="004F0B95">
        <w:rPr>
          <w:rFonts w:ascii="Arial" w:hAnsi="Arial" w:cs="Arial"/>
          <w:color w:val="000000"/>
        </w:rPr>
        <w:t xml:space="preserve">ered with </w:t>
      </w:r>
      <w:r>
        <w:rPr>
          <w:rFonts w:ascii="Arial" w:hAnsi="Arial" w:cs="Arial"/>
          <w:color w:val="000000"/>
        </w:rPr>
        <w:t>some interventions, most notably</w:t>
      </w:r>
      <w:r w:rsidR="004F0B95">
        <w:rPr>
          <w:rFonts w:ascii="Arial" w:hAnsi="Arial" w:cs="Arial"/>
          <w:color w:val="000000"/>
        </w:rPr>
        <w:t>:</w:t>
      </w:r>
    </w:p>
    <w:p w14:paraId="0B1E7BC0" w14:textId="77777777" w:rsidR="005050BF" w:rsidRPr="005050BF" w:rsidRDefault="005050BF" w:rsidP="005050BF">
      <w:pPr>
        <w:rPr>
          <w:rFonts w:ascii="Arial" w:hAnsi="Arial" w:cs="Arial"/>
          <w:color w:val="000000"/>
        </w:rPr>
      </w:pPr>
      <w:r w:rsidRPr="005050BF">
        <w:rPr>
          <w:rFonts w:ascii="Arial" w:hAnsi="Arial" w:cs="Arial"/>
          <w:color w:val="000000"/>
        </w:rPr>
        <w:t> </w:t>
      </w:r>
    </w:p>
    <w:p w14:paraId="2B7E3D82" w14:textId="4A26AD7A" w:rsidR="005050BF" w:rsidRPr="005050BF" w:rsidRDefault="000D49E4" w:rsidP="005050BF">
      <w:pPr>
        <w:numPr>
          <w:ilvl w:val="0"/>
          <w:numId w:val="8"/>
        </w:numPr>
        <w:tabs>
          <w:tab w:val="num" w:pos="1080"/>
        </w:tabs>
        <w:contextualSpacing/>
        <w:rPr>
          <w:rFonts w:ascii="Arial" w:hAnsi="Arial" w:cs="Arial"/>
          <w:color w:val="000000"/>
        </w:rPr>
      </w:pPr>
      <w:r>
        <w:rPr>
          <w:rFonts w:ascii="Arial" w:hAnsi="Arial" w:cs="Arial"/>
          <w:color w:val="000000"/>
        </w:rPr>
        <w:t>overcoming a lack of support from</w:t>
      </w:r>
      <w:r w:rsidR="005050BF" w:rsidRPr="005050BF">
        <w:rPr>
          <w:rFonts w:ascii="Arial" w:hAnsi="Arial" w:cs="Arial"/>
          <w:color w:val="000000"/>
        </w:rPr>
        <w:t xml:space="preserve"> local policymakers for policy change options</w:t>
      </w:r>
    </w:p>
    <w:p w14:paraId="250A6604" w14:textId="77777777" w:rsidR="005050BF" w:rsidRPr="005050BF" w:rsidRDefault="005050BF" w:rsidP="005050BF">
      <w:pPr>
        <w:numPr>
          <w:ilvl w:val="0"/>
          <w:numId w:val="8"/>
        </w:numPr>
        <w:tabs>
          <w:tab w:val="num" w:pos="1080"/>
        </w:tabs>
        <w:contextualSpacing/>
        <w:rPr>
          <w:rFonts w:ascii="Arial" w:hAnsi="Arial" w:cs="Arial"/>
          <w:color w:val="000000"/>
        </w:rPr>
      </w:pPr>
      <w:r w:rsidRPr="005050BF">
        <w:rPr>
          <w:rFonts w:ascii="Arial" w:hAnsi="Arial" w:cs="Arial"/>
          <w:color w:val="000000"/>
        </w:rPr>
        <w:lastRenderedPageBreak/>
        <w:t>recruiting sufficient numbers of participants (e.g., parents) to educational programs</w:t>
      </w:r>
    </w:p>
    <w:p w14:paraId="1AF86D5D" w14:textId="77777777" w:rsidR="005050BF" w:rsidRPr="005050BF" w:rsidRDefault="005050BF" w:rsidP="005050BF">
      <w:pPr>
        <w:numPr>
          <w:ilvl w:val="0"/>
          <w:numId w:val="8"/>
        </w:numPr>
        <w:tabs>
          <w:tab w:val="num" w:pos="1080"/>
        </w:tabs>
        <w:contextualSpacing/>
        <w:rPr>
          <w:rFonts w:ascii="Arial" w:hAnsi="Arial" w:cs="Arial"/>
          <w:color w:val="000000"/>
        </w:rPr>
      </w:pPr>
      <w:r w:rsidRPr="005050BF">
        <w:rPr>
          <w:rFonts w:ascii="Arial" w:hAnsi="Arial" w:cs="Arial"/>
          <w:color w:val="000000"/>
        </w:rPr>
        <w:t xml:space="preserve">obtaining guidance and materials from the state needed to support local outreach and messaging regarding prescription drug misuse </w:t>
      </w:r>
    </w:p>
    <w:p w14:paraId="47884E52" w14:textId="77777777" w:rsidR="005050BF" w:rsidRPr="005050BF" w:rsidRDefault="005050BF" w:rsidP="005050BF">
      <w:pPr>
        <w:rPr>
          <w:rFonts w:ascii="Arial" w:hAnsi="Arial" w:cs="Arial"/>
          <w:color w:val="000000"/>
        </w:rPr>
      </w:pPr>
      <w:r w:rsidRPr="005050BF">
        <w:rPr>
          <w:rFonts w:ascii="Arial" w:hAnsi="Arial" w:cs="Arial"/>
          <w:color w:val="000000"/>
        </w:rPr>
        <w:t> </w:t>
      </w:r>
    </w:p>
    <w:p w14:paraId="6CC7A983" w14:textId="461419C3" w:rsidR="00FE4036" w:rsidRPr="00FE4036" w:rsidRDefault="004F0B95" w:rsidP="00FE4036">
      <w:pPr>
        <w:rPr>
          <w:rFonts w:ascii="Arial" w:hAnsi="Arial" w:cs="Arial"/>
          <w:iCs/>
        </w:rPr>
      </w:pPr>
      <w:r>
        <w:rPr>
          <w:rFonts w:ascii="Arial" w:hAnsi="Arial" w:cs="Arial"/>
          <w:iCs/>
        </w:rPr>
        <w:t>Despite these challenges, n</w:t>
      </w:r>
      <w:r w:rsidR="00FE4036" w:rsidRPr="00FE4036">
        <w:rPr>
          <w:rFonts w:ascii="Arial" w:hAnsi="Arial" w:cs="Arial"/>
          <w:iCs/>
        </w:rPr>
        <w:t xml:space="preserve">oteworthy accomplishments by the six grantees during the three years of implementation include the following: </w:t>
      </w:r>
    </w:p>
    <w:p w14:paraId="42BEE680" w14:textId="77777777" w:rsidR="00FE4036" w:rsidRPr="00FE4036" w:rsidRDefault="00FE4036" w:rsidP="00FE4036">
      <w:pPr>
        <w:rPr>
          <w:rFonts w:ascii="Arial" w:hAnsi="Arial" w:cs="Arial"/>
          <w:iCs/>
        </w:rPr>
      </w:pPr>
    </w:p>
    <w:p w14:paraId="309D8329" w14:textId="77777777" w:rsidR="00FE4036" w:rsidRPr="00FE4036" w:rsidRDefault="00FE4036" w:rsidP="00FE4036">
      <w:pPr>
        <w:numPr>
          <w:ilvl w:val="0"/>
          <w:numId w:val="6"/>
        </w:numPr>
        <w:contextualSpacing/>
        <w:rPr>
          <w:rFonts w:ascii="Arial" w:hAnsi="Arial" w:cs="Arial"/>
          <w:iCs/>
        </w:rPr>
      </w:pPr>
      <w:r w:rsidRPr="00FE4036">
        <w:rPr>
          <w:rFonts w:ascii="Arial" w:hAnsi="Arial" w:cs="Arial"/>
          <w:iCs/>
        </w:rPr>
        <w:t>An estimated 380,000 Vermonters were potentially exposed to PFS prevention initiatives through populat</w:t>
      </w:r>
      <w:r w:rsidR="00FC168D">
        <w:rPr>
          <w:rFonts w:ascii="Arial" w:hAnsi="Arial" w:cs="Arial"/>
          <w:iCs/>
        </w:rPr>
        <w:t xml:space="preserve">ion-level interventions including </w:t>
      </w:r>
      <w:r w:rsidRPr="00FE4036">
        <w:rPr>
          <w:rFonts w:ascii="Arial" w:hAnsi="Arial" w:cs="Arial"/>
          <w:iCs/>
        </w:rPr>
        <w:t xml:space="preserve">media messages and community outreach related to the prevention of prescription drug misuse and the </w:t>
      </w:r>
      <w:r w:rsidR="00FC168D">
        <w:rPr>
          <w:rFonts w:ascii="Arial" w:hAnsi="Arial" w:cs="Arial"/>
          <w:iCs/>
        </w:rPr>
        <w:t>prevention of underage drinking, and enhanced enforcement of underage drinking and other alcohol laws.</w:t>
      </w:r>
      <w:r w:rsidRPr="00FE4036">
        <w:rPr>
          <w:rFonts w:ascii="Arial" w:hAnsi="Arial" w:cs="Arial"/>
          <w:iCs/>
        </w:rPr>
        <w:t xml:space="preserve">  This represents approximately 60% of the state’s population. </w:t>
      </w:r>
    </w:p>
    <w:p w14:paraId="25BD7A63" w14:textId="77777777" w:rsidR="00FE4036" w:rsidRDefault="00FE4036" w:rsidP="00FE4036">
      <w:pPr>
        <w:numPr>
          <w:ilvl w:val="0"/>
          <w:numId w:val="6"/>
        </w:numPr>
        <w:contextualSpacing/>
        <w:rPr>
          <w:rFonts w:ascii="Arial" w:hAnsi="Arial" w:cs="Arial"/>
          <w:iCs/>
        </w:rPr>
      </w:pPr>
      <w:r w:rsidRPr="00FE4036">
        <w:rPr>
          <w:rFonts w:ascii="Arial" w:hAnsi="Arial" w:cs="Arial"/>
          <w:iCs/>
        </w:rPr>
        <w:t>3 new community-level policies designed to reduce underage drinking were enacted.</w:t>
      </w:r>
    </w:p>
    <w:p w14:paraId="710CEE2C" w14:textId="77777777" w:rsidR="009478E1" w:rsidRPr="00FE4036" w:rsidRDefault="002F1B17" w:rsidP="00FE4036">
      <w:pPr>
        <w:numPr>
          <w:ilvl w:val="0"/>
          <w:numId w:val="6"/>
        </w:numPr>
        <w:contextualSpacing/>
        <w:rPr>
          <w:rFonts w:ascii="Arial" w:hAnsi="Arial" w:cs="Arial"/>
          <w:iCs/>
        </w:rPr>
      </w:pPr>
      <w:r w:rsidRPr="002F1B17">
        <w:rPr>
          <w:rFonts w:ascii="Arial" w:hAnsi="Arial" w:cs="Arial"/>
          <w:iCs/>
        </w:rPr>
        <w:t>154 additional patrols were conducted by local law enforcement agencies, resulting in a total of 184 minor in possession citations.</w:t>
      </w:r>
    </w:p>
    <w:p w14:paraId="1819EF65" w14:textId="77777777" w:rsidR="00FE4036" w:rsidRPr="00FE4036" w:rsidRDefault="00FE4036" w:rsidP="00FE4036">
      <w:pPr>
        <w:numPr>
          <w:ilvl w:val="0"/>
          <w:numId w:val="6"/>
        </w:numPr>
        <w:contextualSpacing/>
        <w:rPr>
          <w:rFonts w:ascii="Arial" w:hAnsi="Arial" w:cs="Arial"/>
          <w:iCs/>
        </w:rPr>
      </w:pPr>
      <w:r w:rsidRPr="00FE4036">
        <w:rPr>
          <w:rFonts w:ascii="Arial" w:hAnsi="Arial" w:cs="Arial"/>
          <w:iCs/>
        </w:rPr>
        <w:t>8 new permanent drop-off locations were established for the disposal of unused prescription medications.</w:t>
      </w:r>
    </w:p>
    <w:p w14:paraId="3601AE43" w14:textId="77777777" w:rsidR="00FE4036" w:rsidRPr="00FE4036" w:rsidRDefault="00FE4036" w:rsidP="00FE4036">
      <w:pPr>
        <w:numPr>
          <w:ilvl w:val="0"/>
          <w:numId w:val="6"/>
        </w:numPr>
        <w:contextualSpacing/>
        <w:rPr>
          <w:rFonts w:ascii="Arial" w:hAnsi="Arial" w:cs="Arial"/>
          <w:iCs/>
        </w:rPr>
      </w:pPr>
      <w:r w:rsidRPr="00FE4036">
        <w:rPr>
          <w:rFonts w:ascii="Arial" w:hAnsi="Arial" w:cs="Arial"/>
          <w:iCs/>
        </w:rPr>
        <w:t>636 college students participated in an online alcohol screening and education program (Alcohol Edu).</w:t>
      </w:r>
    </w:p>
    <w:p w14:paraId="79871F7F" w14:textId="77777777" w:rsidR="00FE4036" w:rsidRPr="00FE4036" w:rsidRDefault="00FE4036" w:rsidP="00FE4036">
      <w:pPr>
        <w:numPr>
          <w:ilvl w:val="0"/>
          <w:numId w:val="6"/>
        </w:numPr>
        <w:contextualSpacing/>
        <w:rPr>
          <w:rFonts w:ascii="Arial" w:hAnsi="Arial" w:cs="Arial"/>
          <w:iCs/>
        </w:rPr>
      </w:pPr>
      <w:r w:rsidRPr="00FE4036">
        <w:rPr>
          <w:rFonts w:ascii="Arial" w:hAnsi="Arial" w:cs="Arial"/>
          <w:iCs/>
        </w:rPr>
        <w:t>194 parents participated in parenting education programs designed to improve fa</w:t>
      </w:r>
      <w:r w:rsidR="002F1B17">
        <w:rPr>
          <w:rFonts w:ascii="Arial" w:hAnsi="Arial" w:cs="Arial"/>
          <w:iCs/>
        </w:rPr>
        <w:t xml:space="preserve">mily communication and increase </w:t>
      </w:r>
      <w:r w:rsidRPr="00FE4036">
        <w:rPr>
          <w:rFonts w:ascii="Arial" w:hAnsi="Arial" w:cs="Arial"/>
          <w:iCs/>
        </w:rPr>
        <w:t>parents’ skills in helping their adolescents avoid substance use.</w:t>
      </w:r>
    </w:p>
    <w:p w14:paraId="4FD03F33" w14:textId="77777777" w:rsidR="00FE4036" w:rsidRDefault="00FE4036" w:rsidP="00FE4036">
      <w:pPr>
        <w:pStyle w:val="ListParagraph"/>
        <w:ind w:left="0"/>
        <w:rPr>
          <w:rFonts w:ascii="Arial" w:hAnsi="Arial" w:cs="Arial"/>
          <w:b/>
          <w:bCs/>
        </w:rPr>
      </w:pPr>
    </w:p>
    <w:p w14:paraId="03156F4F" w14:textId="77777777" w:rsidR="00ED2C1F" w:rsidRPr="00C76309" w:rsidRDefault="00ED2C1F" w:rsidP="00F02297">
      <w:pPr>
        <w:pStyle w:val="H1"/>
      </w:pPr>
      <w:bookmarkStart w:id="4" w:name="_Toc470697739"/>
      <w:r w:rsidRPr="00C76309">
        <w:t>Findings Regarding Regional Implementation and Capacity Building</w:t>
      </w:r>
      <w:bookmarkEnd w:id="4"/>
    </w:p>
    <w:p w14:paraId="685BCCC3" w14:textId="77777777" w:rsidR="00ED2C1F" w:rsidRPr="00C76309" w:rsidRDefault="00ED2C1F" w:rsidP="007F5001">
      <w:pPr>
        <w:pStyle w:val="ListParagraph"/>
        <w:ind w:left="0"/>
        <w:rPr>
          <w:rFonts w:ascii="Arial" w:hAnsi="Arial" w:cs="Arial"/>
        </w:rPr>
      </w:pPr>
      <w:r w:rsidRPr="00C76309">
        <w:rPr>
          <w:rFonts w:ascii="Arial" w:hAnsi="Arial" w:cs="Arial"/>
        </w:rPr>
        <w:t xml:space="preserve"> </w:t>
      </w:r>
    </w:p>
    <w:p w14:paraId="24CB5559" w14:textId="232DFF1C" w:rsidR="00ED2C1F" w:rsidRPr="00C76309" w:rsidRDefault="00ED2C1F" w:rsidP="007F5001">
      <w:pPr>
        <w:pStyle w:val="ListParagraph"/>
        <w:ind w:left="0"/>
        <w:rPr>
          <w:rFonts w:ascii="Arial" w:hAnsi="Arial" w:cs="Arial"/>
        </w:rPr>
      </w:pPr>
      <w:r w:rsidRPr="00C76309">
        <w:rPr>
          <w:rFonts w:ascii="Arial" w:hAnsi="Arial" w:cs="Arial"/>
        </w:rPr>
        <w:t>A qualitative study was conducted during year three to assess how this project impacted regional and community cap</w:t>
      </w:r>
      <w:r w:rsidR="002F1B17">
        <w:rPr>
          <w:rFonts w:ascii="Arial" w:hAnsi="Arial" w:cs="Arial"/>
        </w:rPr>
        <w:t>acity to implement strategies for</w:t>
      </w:r>
      <w:r w:rsidRPr="00C76309">
        <w:rPr>
          <w:rFonts w:ascii="Arial" w:hAnsi="Arial" w:cs="Arial"/>
        </w:rPr>
        <w:t xml:space="preserve"> prevent</w:t>
      </w:r>
      <w:r w:rsidR="002F1B17">
        <w:rPr>
          <w:rFonts w:ascii="Arial" w:hAnsi="Arial" w:cs="Arial"/>
        </w:rPr>
        <w:t>ing</w:t>
      </w:r>
      <w:r w:rsidRPr="00C76309">
        <w:rPr>
          <w:rFonts w:ascii="Arial" w:hAnsi="Arial" w:cs="Arial"/>
        </w:rPr>
        <w:t xml:space="preserve"> underage drinking and prescription drug misuse. </w:t>
      </w:r>
      <w:r w:rsidR="006C7575" w:rsidRPr="006C7575">
        <w:rPr>
          <w:rFonts w:ascii="Arial" w:hAnsi="Arial" w:cs="Arial"/>
        </w:rPr>
        <w:t>Interviews were conducted with all six VDH District Directors (DDs)</w:t>
      </w:r>
      <w:r w:rsidR="006C7575">
        <w:rPr>
          <w:rFonts w:ascii="Arial" w:hAnsi="Arial" w:cs="Arial"/>
        </w:rPr>
        <w:t xml:space="preserve"> involved with PFS, and f</w:t>
      </w:r>
      <w:r w:rsidR="006C7575" w:rsidRPr="006C7575">
        <w:rPr>
          <w:rFonts w:ascii="Arial" w:hAnsi="Arial" w:cs="Arial"/>
        </w:rPr>
        <w:t>ocus groups were held with VDH Prevention Consultants (PCs) and representatives from both lead community agencies and community partner organizations from PFS regions.</w:t>
      </w:r>
      <w:r w:rsidR="006C7575">
        <w:rPr>
          <w:rFonts w:ascii="Arial" w:hAnsi="Arial" w:cs="Arial"/>
        </w:rPr>
        <w:t xml:space="preserve"> </w:t>
      </w:r>
      <w:r w:rsidRPr="00C76309">
        <w:rPr>
          <w:rFonts w:ascii="Arial" w:hAnsi="Arial" w:cs="Arial"/>
        </w:rPr>
        <w:t>Overall, despite some substantial challenges with sorting out the roles and responsibilities of the various participants in the PFS-mand</w:t>
      </w:r>
      <w:r w:rsidR="00BA696E">
        <w:rPr>
          <w:rFonts w:ascii="Arial" w:hAnsi="Arial" w:cs="Arial"/>
        </w:rPr>
        <w:t xml:space="preserve">ated structure, the </w:t>
      </w:r>
      <w:r w:rsidRPr="00C76309">
        <w:rPr>
          <w:rFonts w:ascii="Arial" w:hAnsi="Arial" w:cs="Arial"/>
        </w:rPr>
        <w:t xml:space="preserve">evidence collected for this study suggests that Vermont’s regionally coordinated approach is working reasonably well.  The study participants identified increased coordination, networking, and sharing of ideas and expertise across the communities within each region.  One strategy that was noted as having successful implementation at the regional level was the coordination of media outreach.  Several regions developed very strong relationships with local newspapers and were been able to obtain earned media about efforts to prevent underage drinking and/or prescription drug misuse on a regular basis.  Outreach to communities, pharmacists and health care providers on the prevention of prescription drug misuse, including the development of permanent drop box locations for unused prescription drugs, also went well across the regions and frequently included the involvement of partners that may not have been involved in prevention prior to this effort.  A frequently cited challenge was the strategy of educating municipalities on policy approaches to prevention, though some regions did have success working with their regional planning commission to start to bring substance abuse prevention into the design of regional and town plans.  A summary of findings </w:t>
      </w:r>
      <w:r w:rsidR="00FC168D">
        <w:rPr>
          <w:rFonts w:ascii="Arial" w:hAnsi="Arial" w:cs="Arial"/>
        </w:rPr>
        <w:t xml:space="preserve">and recommendations </w:t>
      </w:r>
      <w:r w:rsidRPr="00C76309">
        <w:rPr>
          <w:rFonts w:ascii="Arial" w:hAnsi="Arial" w:cs="Arial"/>
        </w:rPr>
        <w:t>from this study</w:t>
      </w:r>
      <w:r w:rsidR="006D482B">
        <w:rPr>
          <w:rFonts w:ascii="Arial" w:hAnsi="Arial" w:cs="Arial"/>
        </w:rPr>
        <w:t xml:space="preserve">, </w:t>
      </w:r>
      <w:r w:rsidR="00CB0D21">
        <w:rPr>
          <w:rFonts w:ascii="Arial" w:hAnsi="Arial" w:cs="Arial"/>
        </w:rPr>
        <w:t>“</w:t>
      </w:r>
      <w:r w:rsidR="006D482B">
        <w:rPr>
          <w:rFonts w:ascii="Arial" w:hAnsi="Arial" w:cs="Arial"/>
        </w:rPr>
        <w:t>PFS Summary of Qualitative Assessment of Regional Implementation and Changes in Regi</w:t>
      </w:r>
      <w:r w:rsidR="00CB0D21">
        <w:rPr>
          <w:rFonts w:ascii="Arial" w:hAnsi="Arial" w:cs="Arial"/>
        </w:rPr>
        <w:t>onal Capacity Executive Summary</w:t>
      </w:r>
      <w:r w:rsidR="00D8753B">
        <w:rPr>
          <w:rFonts w:ascii="Arial" w:hAnsi="Arial" w:cs="Arial"/>
        </w:rPr>
        <w:t>,</w:t>
      </w:r>
      <w:r w:rsidR="00CB0D21">
        <w:rPr>
          <w:rFonts w:ascii="Arial" w:hAnsi="Arial" w:cs="Arial"/>
        </w:rPr>
        <w:t xml:space="preserve">” </w:t>
      </w:r>
      <w:r w:rsidRPr="00C76309">
        <w:rPr>
          <w:rFonts w:ascii="Arial" w:hAnsi="Arial" w:cs="Arial"/>
        </w:rPr>
        <w:t xml:space="preserve">can be found here: </w:t>
      </w:r>
      <w:hyperlink r:id="rId11" w:history="1">
        <w:r w:rsidR="00CB0D21" w:rsidRPr="0066036D">
          <w:rPr>
            <w:rStyle w:val="Hyperlink"/>
            <w:rFonts w:ascii="Arial" w:hAnsi="Arial" w:cs="Arial"/>
          </w:rPr>
          <w:t>http://healthv</w:t>
        </w:r>
        <w:r w:rsidR="00CB0D21" w:rsidRPr="0066036D">
          <w:rPr>
            <w:rStyle w:val="Hyperlink"/>
            <w:rFonts w:ascii="Arial" w:hAnsi="Arial" w:cs="Arial"/>
          </w:rPr>
          <w:t>e</w:t>
        </w:r>
        <w:r w:rsidR="00CB0D21" w:rsidRPr="0066036D">
          <w:rPr>
            <w:rStyle w:val="Hyperlink"/>
            <w:rFonts w:ascii="Arial" w:hAnsi="Arial" w:cs="Arial"/>
          </w:rPr>
          <w:t>rmont.gov/alcohol-drugs/reports/data-and-</w:t>
        </w:r>
        <w:r w:rsidR="00CB0D21" w:rsidRPr="007B2AE8">
          <w:rPr>
            <w:rStyle w:val="Hyperlink"/>
            <w:rFonts w:ascii="Arial" w:hAnsi="Arial" w:cs="Arial"/>
          </w:rPr>
          <w:t>reports</w:t>
        </w:r>
      </w:hyperlink>
      <w:r w:rsidR="00CB0D21">
        <w:rPr>
          <w:rFonts w:ascii="Arial" w:hAnsi="Arial" w:cs="Arial"/>
        </w:rPr>
        <w:t xml:space="preserve">. </w:t>
      </w:r>
    </w:p>
    <w:p w14:paraId="2795EF28" w14:textId="77777777" w:rsidR="00ED2C1F" w:rsidRPr="00C76309" w:rsidRDefault="00ED2C1F" w:rsidP="007F5001">
      <w:pPr>
        <w:pStyle w:val="ListParagraph"/>
        <w:ind w:left="0"/>
        <w:rPr>
          <w:rFonts w:ascii="Arial" w:hAnsi="Arial" w:cs="Arial"/>
        </w:rPr>
      </w:pPr>
    </w:p>
    <w:p w14:paraId="3773B568" w14:textId="77777777" w:rsidR="00ED2C1F" w:rsidRPr="00C76309" w:rsidRDefault="00ED2C1F" w:rsidP="00F02297">
      <w:pPr>
        <w:pStyle w:val="H1"/>
      </w:pPr>
      <w:bookmarkStart w:id="5" w:name="_Toc470697740"/>
      <w:r w:rsidRPr="00C76309">
        <w:lastRenderedPageBreak/>
        <w:t>Findings Regarding Outcomes Achieved</w:t>
      </w:r>
      <w:bookmarkEnd w:id="5"/>
    </w:p>
    <w:p w14:paraId="6D031618" w14:textId="77777777" w:rsidR="00ED2C1F" w:rsidRPr="00C76309" w:rsidRDefault="00ED2C1F" w:rsidP="00C76309">
      <w:pPr>
        <w:rPr>
          <w:rFonts w:ascii="Arial" w:hAnsi="Arial" w:cs="Arial"/>
        </w:rPr>
      </w:pPr>
    </w:p>
    <w:p w14:paraId="2A738337" w14:textId="77777777" w:rsidR="00ED2C1F" w:rsidRDefault="001C28C7" w:rsidP="00F02297">
      <w:pPr>
        <w:pStyle w:val="H2"/>
      </w:pPr>
      <w:bookmarkStart w:id="6" w:name="_Toc470697741"/>
      <w:r>
        <w:t>Data s</w:t>
      </w:r>
      <w:r w:rsidR="00664C06">
        <w:t>ources</w:t>
      </w:r>
      <w:bookmarkEnd w:id="6"/>
      <w:r w:rsidR="00664C06">
        <w:t xml:space="preserve"> </w:t>
      </w:r>
    </w:p>
    <w:p w14:paraId="2C7DAF6C" w14:textId="77777777" w:rsidR="00796FFF" w:rsidRPr="00C76309" w:rsidRDefault="00796FFF" w:rsidP="00796FFF">
      <w:pPr>
        <w:rPr>
          <w:rFonts w:ascii="Arial" w:hAnsi="Arial" w:cs="Arial"/>
          <w:b/>
          <w:bCs/>
        </w:rPr>
      </w:pPr>
    </w:p>
    <w:p w14:paraId="6CBF7EED" w14:textId="002834CE" w:rsidR="00ED2C1F" w:rsidRDefault="00ED2C1F" w:rsidP="00796FFF">
      <w:pPr>
        <w:rPr>
          <w:rFonts w:ascii="Arial" w:hAnsi="Arial" w:cs="Arial"/>
        </w:rPr>
      </w:pPr>
      <w:r w:rsidRPr="00C76309">
        <w:rPr>
          <w:rFonts w:ascii="Arial" w:hAnsi="Arial" w:cs="Arial"/>
        </w:rPr>
        <w:t>Data from the Youth Risk Behavior Survey (YRBS) and the Vermont Young Adult Survey (YAS) were used to assess possib</w:t>
      </w:r>
      <w:r>
        <w:rPr>
          <w:rFonts w:ascii="Arial" w:hAnsi="Arial" w:cs="Arial"/>
        </w:rPr>
        <w:t>le effects of the PFS on targeted outcome measures</w:t>
      </w:r>
      <w:r w:rsidRPr="00C76309">
        <w:rPr>
          <w:rFonts w:ascii="Arial" w:hAnsi="Arial" w:cs="Arial"/>
        </w:rPr>
        <w:t xml:space="preserve">.  Vermont’s YRBS is conducted early in each odd-numbered year, while the YAS was conducted in the spring of 2014 and repeated in 2016. </w:t>
      </w:r>
      <w:r>
        <w:rPr>
          <w:rFonts w:ascii="Arial" w:hAnsi="Arial" w:cs="Arial"/>
        </w:rPr>
        <w:t xml:space="preserve"> </w:t>
      </w:r>
      <w:r w:rsidRPr="00C76309">
        <w:rPr>
          <w:rFonts w:ascii="Arial" w:hAnsi="Arial" w:cs="Arial"/>
        </w:rPr>
        <w:t>The first intervention activities supported by the PFS gran</w:t>
      </w:r>
      <w:r>
        <w:rPr>
          <w:rFonts w:ascii="Arial" w:hAnsi="Arial" w:cs="Arial"/>
        </w:rPr>
        <w:t>ts</w:t>
      </w:r>
      <w:r w:rsidRPr="00C76309">
        <w:rPr>
          <w:rFonts w:ascii="Arial" w:hAnsi="Arial" w:cs="Arial"/>
        </w:rPr>
        <w:t xml:space="preserve"> began in the fall of 2013, although most were not underway until the s</w:t>
      </w:r>
      <w:r w:rsidR="00EE0E14">
        <w:rPr>
          <w:rFonts w:ascii="Arial" w:hAnsi="Arial" w:cs="Arial"/>
        </w:rPr>
        <w:t>pring or s</w:t>
      </w:r>
      <w:r w:rsidRPr="00C76309">
        <w:rPr>
          <w:rFonts w:ascii="Arial" w:hAnsi="Arial" w:cs="Arial"/>
        </w:rPr>
        <w:t>ummer of 2014.   We therefore designated the YRBS data collected in the spring of 2013 as baseline, and examined how prevalence rates for the outcome measures changed between 2013 and 2015.    For the YAS data, 2014 served as the baseline year, with 2016 providing the follow-up.</w:t>
      </w:r>
    </w:p>
    <w:p w14:paraId="097528E3" w14:textId="77777777" w:rsidR="00796FFF" w:rsidRDefault="00796FFF" w:rsidP="00796FFF">
      <w:pPr>
        <w:rPr>
          <w:rFonts w:ascii="Arial" w:hAnsi="Arial" w:cs="Arial"/>
        </w:rPr>
      </w:pPr>
    </w:p>
    <w:p w14:paraId="52D4677C" w14:textId="1DCD96AA" w:rsidR="00A10A99" w:rsidRDefault="00ED2C1F" w:rsidP="00113ED7">
      <w:pPr>
        <w:rPr>
          <w:rFonts w:ascii="Arial" w:hAnsi="Arial" w:cs="Arial"/>
        </w:rPr>
      </w:pPr>
      <w:r w:rsidRPr="00C76309">
        <w:rPr>
          <w:rFonts w:ascii="Arial" w:hAnsi="Arial" w:cs="Arial"/>
        </w:rPr>
        <w:t>The YRBS includes both a high school student survey and a middle school student survey.  Data from these two surveys were analyzed separately.  Students were assigned to PFS regio</w:t>
      </w:r>
      <w:r w:rsidR="006C7575">
        <w:rPr>
          <w:rFonts w:ascii="Arial" w:hAnsi="Arial" w:cs="Arial"/>
        </w:rPr>
        <w:t>n based on their town code or school code</w:t>
      </w:r>
      <w:r w:rsidRPr="00C76309">
        <w:rPr>
          <w:rFonts w:ascii="Arial" w:hAnsi="Arial" w:cs="Arial"/>
        </w:rPr>
        <w:t>.  YAS respondents were assig</w:t>
      </w:r>
      <w:r w:rsidR="006C7575">
        <w:rPr>
          <w:rFonts w:ascii="Arial" w:hAnsi="Arial" w:cs="Arial"/>
        </w:rPr>
        <w:t xml:space="preserve">ned based on their zip code </w:t>
      </w:r>
      <w:r w:rsidRPr="00C76309">
        <w:rPr>
          <w:rFonts w:ascii="Arial" w:hAnsi="Arial" w:cs="Arial"/>
        </w:rPr>
        <w:t>or town of residence.  The YRBS data were weighted to be representative of the demographic composition of each Supervisory Union with respect to grade l</w:t>
      </w:r>
      <w:r>
        <w:rPr>
          <w:rFonts w:ascii="Arial" w:hAnsi="Arial" w:cs="Arial"/>
        </w:rPr>
        <w:t xml:space="preserve">evel, sex, and </w:t>
      </w:r>
      <w:r w:rsidR="001F1BF1">
        <w:rPr>
          <w:rFonts w:ascii="Arial" w:hAnsi="Arial" w:cs="Arial"/>
        </w:rPr>
        <w:t xml:space="preserve">racial/ethnic </w:t>
      </w:r>
      <w:r>
        <w:rPr>
          <w:rFonts w:ascii="Arial" w:hAnsi="Arial" w:cs="Arial"/>
        </w:rPr>
        <w:t>minority status</w:t>
      </w:r>
      <w:r w:rsidRPr="00C76309">
        <w:rPr>
          <w:rFonts w:ascii="Arial" w:hAnsi="Arial" w:cs="Arial"/>
        </w:rPr>
        <w:t>.  The YAS data were weighted to be representative of each region with respect to sex and age group (i.e., 18-20 and 21-25).</w:t>
      </w:r>
      <w:r w:rsidR="00367E0F">
        <w:rPr>
          <w:rStyle w:val="FootnoteReference"/>
          <w:rFonts w:ascii="Arial" w:hAnsi="Arial" w:cs="Arial"/>
        </w:rPr>
        <w:footnoteReference w:id="1"/>
      </w:r>
      <w:r w:rsidRPr="00C76309">
        <w:rPr>
          <w:rFonts w:ascii="Arial" w:hAnsi="Arial" w:cs="Arial"/>
        </w:rPr>
        <w:t xml:space="preserve">  </w:t>
      </w:r>
    </w:p>
    <w:p w14:paraId="5483AB31" w14:textId="77777777" w:rsidR="00A10A99" w:rsidRDefault="00A10A99" w:rsidP="00113ED7">
      <w:pPr>
        <w:rPr>
          <w:rFonts w:ascii="Arial" w:hAnsi="Arial" w:cs="Arial"/>
        </w:rPr>
      </w:pPr>
    </w:p>
    <w:p w14:paraId="29300C32" w14:textId="77777777" w:rsidR="002F6C42" w:rsidRDefault="002F6C42" w:rsidP="00464CFA">
      <w:pPr>
        <w:spacing w:after="160"/>
        <w:rPr>
          <w:rFonts w:ascii="Arial" w:hAnsi="Arial" w:cs="Arial"/>
        </w:rPr>
      </w:pPr>
      <w:r>
        <w:rPr>
          <w:rFonts w:ascii="Arial" w:hAnsi="Arial" w:cs="Arial"/>
        </w:rPr>
        <w:t xml:space="preserve">The sample sizes for each data source, by year and condition (i.e., PFS funding status) are provided below.  </w:t>
      </w:r>
      <w:r w:rsidR="00972167">
        <w:rPr>
          <w:rFonts w:ascii="Arial" w:hAnsi="Arial" w:cs="Arial"/>
        </w:rPr>
        <w:t xml:space="preserve">The </w:t>
      </w:r>
      <w:r>
        <w:rPr>
          <w:rFonts w:ascii="Arial" w:hAnsi="Arial" w:cs="Arial"/>
        </w:rPr>
        <w:t>N</w:t>
      </w:r>
      <w:r w:rsidR="00972167">
        <w:rPr>
          <w:rFonts w:ascii="Arial" w:hAnsi="Arial" w:cs="Arial"/>
        </w:rPr>
        <w:t xml:space="preserve">s </w:t>
      </w:r>
      <w:r>
        <w:rPr>
          <w:rFonts w:ascii="Arial" w:hAnsi="Arial" w:cs="Arial"/>
        </w:rPr>
        <w:t>ma</w:t>
      </w:r>
      <w:r w:rsidR="00972167">
        <w:rPr>
          <w:rFonts w:ascii="Arial" w:hAnsi="Arial" w:cs="Arial"/>
        </w:rPr>
        <w:t>y be slightly lower for specifi</w:t>
      </w:r>
      <w:r>
        <w:rPr>
          <w:rFonts w:ascii="Arial" w:hAnsi="Arial" w:cs="Arial"/>
        </w:rPr>
        <w:t>c outcomes due to missing values.</w:t>
      </w:r>
    </w:p>
    <w:tbl>
      <w:tblPr>
        <w:tblStyle w:val="TableGrid"/>
        <w:tblW w:w="7488" w:type="dxa"/>
        <w:tblLook w:val="04A0" w:firstRow="1" w:lastRow="0" w:firstColumn="1" w:lastColumn="0" w:noHBand="0" w:noVBand="1"/>
      </w:tblPr>
      <w:tblGrid>
        <w:gridCol w:w="2304"/>
        <w:gridCol w:w="1296"/>
        <w:gridCol w:w="1296"/>
        <w:gridCol w:w="1296"/>
        <w:gridCol w:w="1296"/>
      </w:tblGrid>
      <w:tr w:rsidR="00972167" w14:paraId="587BC9F1" w14:textId="77777777" w:rsidTr="009478E1">
        <w:tc>
          <w:tcPr>
            <w:tcW w:w="2304" w:type="dxa"/>
            <w:shd w:val="clear" w:color="auto" w:fill="D9D9D9" w:themeFill="background1" w:themeFillShade="D9"/>
          </w:tcPr>
          <w:p w14:paraId="33509163" w14:textId="77777777" w:rsidR="00972167" w:rsidRDefault="00972167" w:rsidP="00972167">
            <w:pPr>
              <w:rPr>
                <w:rFonts w:ascii="Arial" w:hAnsi="Arial" w:cs="Arial"/>
              </w:rPr>
            </w:pPr>
          </w:p>
        </w:tc>
        <w:tc>
          <w:tcPr>
            <w:tcW w:w="2592" w:type="dxa"/>
            <w:gridSpan w:val="2"/>
            <w:shd w:val="clear" w:color="auto" w:fill="D9D9D9" w:themeFill="background1" w:themeFillShade="D9"/>
            <w:vAlign w:val="center"/>
          </w:tcPr>
          <w:p w14:paraId="34E657C9" w14:textId="77777777" w:rsidR="00972167" w:rsidRPr="009478E1" w:rsidRDefault="00972167" w:rsidP="00972167">
            <w:pPr>
              <w:jc w:val="center"/>
              <w:rPr>
                <w:rFonts w:ascii="Arial" w:hAnsi="Arial" w:cs="Arial"/>
                <w:b/>
              </w:rPr>
            </w:pPr>
            <w:r w:rsidRPr="009478E1">
              <w:rPr>
                <w:rFonts w:ascii="Arial" w:hAnsi="Arial" w:cs="Arial"/>
                <w:b/>
              </w:rPr>
              <w:t>PFS Areas</w:t>
            </w:r>
          </w:p>
        </w:tc>
        <w:tc>
          <w:tcPr>
            <w:tcW w:w="2592" w:type="dxa"/>
            <w:gridSpan w:val="2"/>
            <w:shd w:val="clear" w:color="auto" w:fill="D9D9D9" w:themeFill="background1" w:themeFillShade="D9"/>
            <w:vAlign w:val="center"/>
          </w:tcPr>
          <w:p w14:paraId="03C2852D" w14:textId="77777777" w:rsidR="00972167" w:rsidRPr="009478E1" w:rsidRDefault="009478E1" w:rsidP="00972167">
            <w:pPr>
              <w:jc w:val="center"/>
              <w:rPr>
                <w:rFonts w:ascii="Arial" w:hAnsi="Arial" w:cs="Arial"/>
                <w:b/>
              </w:rPr>
            </w:pPr>
            <w:r>
              <w:rPr>
                <w:rFonts w:ascii="Arial" w:hAnsi="Arial" w:cs="Arial"/>
                <w:b/>
              </w:rPr>
              <w:t>Non-funded</w:t>
            </w:r>
            <w:r w:rsidR="00972167" w:rsidRPr="009478E1">
              <w:rPr>
                <w:rFonts w:ascii="Arial" w:hAnsi="Arial" w:cs="Arial"/>
                <w:b/>
              </w:rPr>
              <w:t xml:space="preserve"> Area</w:t>
            </w:r>
            <w:r>
              <w:rPr>
                <w:rFonts w:ascii="Arial" w:hAnsi="Arial" w:cs="Arial"/>
                <w:b/>
              </w:rPr>
              <w:t>s</w:t>
            </w:r>
          </w:p>
        </w:tc>
      </w:tr>
      <w:tr w:rsidR="00972167" w14:paraId="668C8D44" w14:textId="77777777" w:rsidTr="009478E1">
        <w:tc>
          <w:tcPr>
            <w:tcW w:w="2304" w:type="dxa"/>
            <w:shd w:val="clear" w:color="auto" w:fill="D9D9D9" w:themeFill="background1" w:themeFillShade="D9"/>
          </w:tcPr>
          <w:p w14:paraId="1FFEFE0A" w14:textId="77777777" w:rsidR="00972167" w:rsidRDefault="00972167" w:rsidP="00972167">
            <w:pPr>
              <w:rPr>
                <w:rFonts w:ascii="Arial" w:hAnsi="Arial" w:cs="Arial"/>
              </w:rPr>
            </w:pPr>
          </w:p>
        </w:tc>
        <w:tc>
          <w:tcPr>
            <w:tcW w:w="1296" w:type="dxa"/>
            <w:shd w:val="clear" w:color="auto" w:fill="D9D9D9" w:themeFill="background1" w:themeFillShade="D9"/>
            <w:vAlign w:val="center"/>
          </w:tcPr>
          <w:p w14:paraId="14649728" w14:textId="77777777" w:rsidR="00972167" w:rsidRPr="009478E1" w:rsidRDefault="00972167" w:rsidP="00972167">
            <w:pPr>
              <w:jc w:val="center"/>
              <w:rPr>
                <w:rFonts w:ascii="Arial" w:hAnsi="Arial" w:cs="Arial"/>
                <w:b/>
              </w:rPr>
            </w:pPr>
            <w:r w:rsidRPr="009478E1">
              <w:rPr>
                <w:rFonts w:ascii="Arial" w:hAnsi="Arial" w:cs="Arial"/>
                <w:b/>
              </w:rPr>
              <w:t>2013</w:t>
            </w:r>
          </w:p>
        </w:tc>
        <w:tc>
          <w:tcPr>
            <w:tcW w:w="1296" w:type="dxa"/>
            <w:shd w:val="clear" w:color="auto" w:fill="D9D9D9" w:themeFill="background1" w:themeFillShade="D9"/>
            <w:vAlign w:val="center"/>
          </w:tcPr>
          <w:p w14:paraId="7207A4FB" w14:textId="77777777" w:rsidR="00972167" w:rsidRPr="009478E1" w:rsidRDefault="00972167" w:rsidP="00972167">
            <w:pPr>
              <w:jc w:val="center"/>
              <w:rPr>
                <w:rFonts w:ascii="Arial" w:hAnsi="Arial" w:cs="Arial"/>
                <w:b/>
              </w:rPr>
            </w:pPr>
            <w:r w:rsidRPr="009478E1">
              <w:rPr>
                <w:rFonts w:ascii="Arial" w:hAnsi="Arial" w:cs="Arial"/>
                <w:b/>
              </w:rPr>
              <w:t>2015</w:t>
            </w:r>
          </w:p>
        </w:tc>
        <w:tc>
          <w:tcPr>
            <w:tcW w:w="1296" w:type="dxa"/>
            <w:shd w:val="clear" w:color="auto" w:fill="D9D9D9" w:themeFill="background1" w:themeFillShade="D9"/>
            <w:vAlign w:val="center"/>
          </w:tcPr>
          <w:p w14:paraId="2A512E04" w14:textId="77777777" w:rsidR="00972167" w:rsidRPr="009478E1" w:rsidRDefault="00972167" w:rsidP="00972167">
            <w:pPr>
              <w:jc w:val="center"/>
              <w:rPr>
                <w:rFonts w:ascii="Arial" w:hAnsi="Arial" w:cs="Arial"/>
                <w:b/>
              </w:rPr>
            </w:pPr>
            <w:r w:rsidRPr="009478E1">
              <w:rPr>
                <w:rFonts w:ascii="Arial" w:hAnsi="Arial" w:cs="Arial"/>
                <w:b/>
              </w:rPr>
              <w:t>2013</w:t>
            </w:r>
          </w:p>
        </w:tc>
        <w:tc>
          <w:tcPr>
            <w:tcW w:w="1296" w:type="dxa"/>
            <w:shd w:val="clear" w:color="auto" w:fill="D9D9D9" w:themeFill="background1" w:themeFillShade="D9"/>
            <w:vAlign w:val="center"/>
          </w:tcPr>
          <w:p w14:paraId="075F1A9C" w14:textId="77777777" w:rsidR="00972167" w:rsidRPr="009478E1" w:rsidRDefault="00972167" w:rsidP="00972167">
            <w:pPr>
              <w:jc w:val="center"/>
              <w:rPr>
                <w:rFonts w:ascii="Arial" w:hAnsi="Arial" w:cs="Arial"/>
                <w:b/>
              </w:rPr>
            </w:pPr>
            <w:r w:rsidRPr="009478E1">
              <w:rPr>
                <w:rFonts w:ascii="Arial" w:hAnsi="Arial" w:cs="Arial"/>
                <w:b/>
              </w:rPr>
              <w:t>2015</w:t>
            </w:r>
          </w:p>
        </w:tc>
      </w:tr>
      <w:tr w:rsidR="009478E1" w14:paraId="02FC50A2" w14:textId="77777777" w:rsidTr="00972167">
        <w:tc>
          <w:tcPr>
            <w:tcW w:w="2304" w:type="dxa"/>
          </w:tcPr>
          <w:p w14:paraId="39144531" w14:textId="77777777" w:rsidR="009478E1" w:rsidRDefault="009478E1" w:rsidP="009478E1">
            <w:pPr>
              <w:rPr>
                <w:rFonts w:ascii="Arial" w:hAnsi="Arial" w:cs="Arial"/>
              </w:rPr>
            </w:pPr>
            <w:r>
              <w:rPr>
                <w:rFonts w:ascii="Arial" w:hAnsi="Arial" w:cs="Arial"/>
              </w:rPr>
              <w:t>YRBS (Middle School)</w:t>
            </w:r>
          </w:p>
        </w:tc>
        <w:tc>
          <w:tcPr>
            <w:tcW w:w="1296" w:type="dxa"/>
          </w:tcPr>
          <w:p w14:paraId="59AF3A52" w14:textId="77777777" w:rsidR="009478E1" w:rsidRPr="003909E9" w:rsidRDefault="009478E1" w:rsidP="009478E1">
            <w:pPr>
              <w:jc w:val="center"/>
              <w:rPr>
                <w:rFonts w:ascii="Arial" w:hAnsi="Arial" w:cs="Arial"/>
              </w:rPr>
            </w:pPr>
            <w:r>
              <w:rPr>
                <w:rFonts w:ascii="Arial" w:hAnsi="Arial" w:cs="Arial"/>
              </w:rPr>
              <w:t>9,803</w:t>
            </w:r>
          </w:p>
        </w:tc>
        <w:tc>
          <w:tcPr>
            <w:tcW w:w="1296" w:type="dxa"/>
          </w:tcPr>
          <w:p w14:paraId="325D4D9B" w14:textId="77777777" w:rsidR="009478E1" w:rsidRPr="003909E9" w:rsidRDefault="009478E1" w:rsidP="009478E1">
            <w:pPr>
              <w:jc w:val="center"/>
              <w:rPr>
                <w:rFonts w:ascii="Arial" w:hAnsi="Arial" w:cs="Arial"/>
              </w:rPr>
            </w:pPr>
            <w:r>
              <w:rPr>
                <w:rFonts w:ascii="Arial" w:hAnsi="Arial" w:cs="Arial"/>
              </w:rPr>
              <w:t>9,137</w:t>
            </w:r>
          </w:p>
        </w:tc>
        <w:tc>
          <w:tcPr>
            <w:tcW w:w="1296" w:type="dxa"/>
          </w:tcPr>
          <w:p w14:paraId="407709C7" w14:textId="77777777" w:rsidR="009478E1" w:rsidRPr="003909E9" w:rsidRDefault="009478E1" w:rsidP="009478E1">
            <w:pPr>
              <w:jc w:val="center"/>
              <w:rPr>
                <w:rFonts w:ascii="Arial" w:hAnsi="Arial" w:cs="Arial"/>
              </w:rPr>
            </w:pPr>
            <w:r>
              <w:rPr>
                <w:rFonts w:ascii="Arial" w:hAnsi="Arial" w:cs="Arial"/>
              </w:rPr>
              <w:t>4,836</w:t>
            </w:r>
          </w:p>
        </w:tc>
        <w:tc>
          <w:tcPr>
            <w:tcW w:w="1296" w:type="dxa"/>
          </w:tcPr>
          <w:p w14:paraId="31BEE24C" w14:textId="77777777" w:rsidR="009478E1" w:rsidRPr="003909E9" w:rsidRDefault="009478E1" w:rsidP="009478E1">
            <w:pPr>
              <w:jc w:val="center"/>
              <w:rPr>
                <w:rFonts w:ascii="Arial" w:hAnsi="Arial" w:cs="Arial"/>
              </w:rPr>
            </w:pPr>
            <w:r>
              <w:rPr>
                <w:rFonts w:ascii="Arial" w:hAnsi="Arial" w:cs="Arial"/>
              </w:rPr>
              <w:t>4,384</w:t>
            </w:r>
          </w:p>
        </w:tc>
      </w:tr>
      <w:tr w:rsidR="009478E1" w14:paraId="4467E2AB" w14:textId="77777777" w:rsidTr="00972167">
        <w:tc>
          <w:tcPr>
            <w:tcW w:w="2304" w:type="dxa"/>
          </w:tcPr>
          <w:p w14:paraId="24AE1438" w14:textId="77777777" w:rsidR="009478E1" w:rsidRDefault="009478E1" w:rsidP="009478E1">
            <w:pPr>
              <w:rPr>
                <w:rFonts w:ascii="Arial" w:hAnsi="Arial" w:cs="Arial"/>
              </w:rPr>
            </w:pPr>
            <w:r>
              <w:rPr>
                <w:rFonts w:ascii="Arial" w:hAnsi="Arial" w:cs="Arial"/>
              </w:rPr>
              <w:t>YRBS (High School)</w:t>
            </w:r>
          </w:p>
        </w:tc>
        <w:tc>
          <w:tcPr>
            <w:tcW w:w="1296" w:type="dxa"/>
          </w:tcPr>
          <w:p w14:paraId="454A791E" w14:textId="77777777" w:rsidR="009478E1" w:rsidRPr="003909E9" w:rsidRDefault="009478E1" w:rsidP="009478E1">
            <w:pPr>
              <w:jc w:val="center"/>
              <w:rPr>
                <w:rFonts w:ascii="Arial" w:hAnsi="Arial" w:cs="Arial"/>
              </w:rPr>
            </w:pPr>
            <w:r>
              <w:rPr>
                <w:rFonts w:ascii="Arial" w:hAnsi="Arial" w:cs="Arial"/>
              </w:rPr>
              <w:t>13,440</w:t>
            </w:r>
          </w:p>
        </w:tc>
        <w:tc>
          <w:tcPr>
            <w:tcW w:w="1296" w:type="dxa"/>
          </w:tcPr>
          <w:p w14:paraId="55155D66" w14:textId="77777777" w:rsidR="009478E1" w:rsidRPr="003909E9" w:rsidRDefault="009478E1" w:rsidP="009478E1">
            <w:pPr>
              <w:jc w:val="center"/>
              <w:rPr>
                <w:rFonts w:ascii="Arial" w:hAnsi="Arial" w:cs="Arial"/>
              </w:rPr>
            </w:pPr>
            <w:r>
              <w:rPr>
                <w:rFonts w:ascii="Arial" w:hAnsi="Arial" w:cs="Arial"/>
              </w:rPr>
              <w:t>12,666</w:t>
            </w:r>
          </w:p>
        </w:tc>
        <w:tc>
          <w:tcPr>
            <w:tcW w:w="1296" w:type="dxa"/>
          </w:tcPr>
          <w:p w14:paraId="2FACE24E" w14:textId="77777777" w:rsidR="009478E1" w:rsidRPr="003909E9" w:rsidRDefault="009478E1" w:rsidP="009478E1">
            <w:pPr>
              <w:jc w:val="center"/>
              <w:rPr>
                <w:rFonts w:ascii="Arial" w:hAnsi="Arial" w:cs="Arial"/>
              </w:rPr>
            </w:pPr>
            <w:r>
              <w:rPr>
                <w:rFonts w:ascii="Arial" w:hAnsi="Arial" w:cs="Arial"/>
              </w:rPr>
              <w:t>7,723</w:t>
            </w:r>
          </w:p>
        </w:tc>
        <w:tc>
          <w:tcPr>
            <w:tcW w:w="1296" w:type="dxa"/>
          </w:tcPr>
          <w:p w14:paraId="1672926B" w14:textId="77777777" w:rsidR="009478E1" w:rsidRPr="003909E9" w:rsidRDefault="009478E1" w:rsidP="009478E1">
            <w:pPr>
              <w:jc w:val="center"/>
              <w:rPr>
                <w:rFonts w:ascii="Arial" w:hAnsi="Arial" w:cs="Arial"/>
              </w:rPr>
            </w:pPr>
            <w:r>
              <w:rPr>
                <w:rFonts w:ascii="Arial" w:hAnsi="Arial" w:cs="Arial"/>
              </w:rPr>
              <w:t>7,398</w:t>
            </w:r>
          </w:p>
        </w:tc>
      </w:tr>
      <w:tr w:rsidR="009478E1" w14:paraId="5FFE7152" w14:textId="77777777" w:rsidTr="00972167">
        <w:tc>
          <w:tcPr>
            <w:tcW w:w="2304" w:type="dxa"/>
          </w:tcPr>
          <w:p w14:paraId="606FA51E" w14:textId="77777777" w:rsidR="009478E1" w:rsidRDefault="009478E1" w:rsidP="009478E1">
            <w:pPr>
              <w:rPr>
                <w:rFonts w:ascii="Arial" w:hAnsi="Arial" w:cs="Arial"/>
              </w:rPr>
            </w:pPr>
            <w:r>
              <w:rPr>
                <w:rFonts w:ascii="Arial" w:hAnsi="Arial" w:cs="Arial"/>
              </w:rPr>
              <w:t>YAS</w:t>
            </w:r>
          </w:p>
        </w:tc>
        <w:tc>
          <w:tcPr>
            <w:tcW w:w="1296" w:type="dxa"/>
          </w:tcPr>
          <w:p w14:paraId="361E586D" w14:textId="77777777" w:rsidR="009478E1" w:rsidRPr="003909E9" w:rsidRDefault="009478E1" w:rsidP="009478E1">
            <w:pPr>
              <w:jc w:val="center"/>
              <w:rPr>
                <w:rFonts w:ascii="Arial" w:hAnsi="Arial" w:cs="Arial"/>
              </w:rPr>
            </w:pPr>
            <w:r>
              <w:rPr>
                <w:rFonts w:ascii="Arial" w:hAnsi="Arial" w:cs="Arial"/>
              </w:rPr>
              <w:t>2,143</w:t>
            </w:r>
          </w:p>
        </w:tc>
        <w:tc>
          <w:tcPr>
            <w:tcW w:w="1296" w:type="dxa"/>
          </w:tcPr>
          <w:p w14:paraId="45330FFC" w14:textId="77777777" w:rsidR="009478E1" w:rsidRPr="003909E9" w:rsidRDefault="009478E1" w:rsidP="009478E1">
            <w:pPr>
              <w:jc w:val="center"/>
              <w:rPr>
                <w:rFonts w:ascii="Arial" w:hAnsi="Arial" w:cs="Arial"/>
              </w:rPr>
            </w:pPr>
            <w:r>
              <w:rPr>
                <w:rFonts w:ascii="Arial" w:hAnsi="Arial" w:cs="Arial"/>
              </w:rPr>
              <w:t>2,242</w:t>
            </w:r>
          </w:p>
        </w:tc>
        <w:tc>
          <w:tcPr>
            <w:tcW w:w="1296" w:type="dxa"/>
          </w:tcPr>
          <w:p w14:paraId="52F90DD6" w14:textId="77777777" w:rsidR="009478E1" w:rsidRPr="003909E9" w:rsidRDefault="009478E1" w:rsidP="009478E1">
            <w:pPr>
              <w:jc w:val="center"/>
              <w:rPr>
                <w:rFonts w:ascii="Arial" w:hAnsi="Arial" w:cs="Arial"/>
              </w:rPr>
            </w:pPr>
            <w:r>
              <w:rPr>
                <w:rFonts w:ascii="Arial" w:hAnsi="Arial" w:cs="Arial"/>
              </w:rPr>
              <w:t>724</w:t>
            </w:r>
          </w:p>
        </w:tc>
        <w:tc>
          <w:tcPr>
            <w:tcW w:w="1296" w:type="dxa"/>
          </w:tcPr>
          <w:p w14:paraId="3794BC09" w14:textId="77777777" w:rsidR="009478E1" w:rsidRPr="003909E9" w:rsidRDefault="009478E1" w:rsidP="009478E1">
            <w:pPr>
              <w:jc w:val="center"/>
              <w:rPr>
                <w:rFonts w:ascii="Arial" w:hAnsi="Arial" w:cs="Arial"/>
              </w:rPr>
            </w:pPr>
            <w:r>
              <w:rPr>
                <w:rFonts w:ascii="Arial" w:hAnsi="Arial" w:cs="Arial"/>
              </w:rPr>
              <w:t>820</w:t>
            </w:r>
          </w:p>
        </w:tc>
      </w:tr>
    </w:tbl>
    <w:p w14:paraId="37ED18FD" w14:textId="77777777" w:rsidR="00464CFA" w:rsidRDefault="00464CFA" w:rsidP="00F02297">
      <w:pPr>
        <w:pStyle w:val="H2"/>
      </w:pPr>
      <w:bookmarkStart w:id="7" w:name="_Toc470697742"/>
    </w:p>
    <w:p w14:paraId="37C5E9FA" w14:textId="77777777" w:rsidR="00664C06" w:rsidRDefault="001C28C7" w:rsidP="00934640">
      <w:pPr>
        <w:pStyle w:val="H2"/>
        <w:spacing w:after="120"/>
      </w:pPr>
      <w:r>
        <w:t>Analysis a</w:t>
      </w:r>
      <w:r w:rsidR="00664C06" w:rsidRPr="00C76309">
        <w:t>pproach</w:t>
      </w:r>
      <w:bookmarkEnd w:id="7"/>
    </w:p>
    <w:p w14:paraId="32238CAA" w14:textId="77777777" w:rsidR="00ED2C1F" w:rsidRDefault="00ED2C1F" w:rsidP="00BF42BB">
      <w:pPr>
        <w:spacing w:after="280"/>
        <w:rPr>
          <w:rFonts w:ascii="Arial" w:hAnsi="Arial" w:cs="Arial"/>
        </w:rPr>
      </w:pPr>
      <w:r>
        <w:rPr>
          <w:rFonts w:ascii="Arial" w:hAnsi="Arial" w:cs="Arial"/>
        </w:rPr>
        <w:t xml:space="preserve">To assess possible effects of PFS the data were first examined to see whether, and to what degree, changes in outcome measures </w:t>
      </w:r>
      <w:r w:rsidR="006C7575">
        <w:rPr>
          <w:rFonts w:ascii="Arial" w:hAnsi="Arial" w:cs="Arial"/>
        </w:rPr>
        <w:t xml:space="preserve">from baseline to follow-up </w:t>
      </w:r>
      <w:r>
        <w:rPr>
          <w:rFonts w:ascii="Arial" w:hAnsi="Arial" w:cs="Arial"/>
        </w:rPr>
        <w:t>among the PFS funded regions, collectively, were in the desired direction.  This st</w:t>
      </w:r>
      <w:r w:rsidR="006C7575">
        <w:rPr>
          <w:rFonts w:ascii="Arial" w:hAnsi="Arial" w:cs="Arial"/>
        </w:rPr>
        <w:t>ep in the analysis was conducted</w:t>
      </w:r>
      <w:r>
        <w:rPr>
          <w:rFonts w:ascii="Arial" w:hAnsi="Arial" w:cs="Arial"/>
        </w:rPr>
        <w:t xml:space="preserve"> with</w:t>
      </w:r>
      <w:r w:rsidR="00FC168D">
        <w:rPr>
          <w:rFonts w:ascii="Arial" w:hAnsi="Arial" w:cs="Arial"/>
        </w:rPr>
        <w:t xml:space="preserve">out any comparisons to </w:t>
      </w:r>
      <w:r>
        <w:rPr>
          <w:rFonts w:ascii="Arial" w:hAnsi="Arial" w:cs="Arial"/>
        </w:rPr>
        <w:t>areas of the state</w:t>
      </w:r>
      <w:r w:rsidR="00FC168D">
        <w:rPr>
          <w:rFonts w:ascii="Arial" w:hAnsi="Arial" w:cs="Arial"/>
        </w:rPr>
        <w:t xml:space="preserve"> not receiving PFS funding</w:t>
      </w:r>
      <w:r>
        <w:rPr>
          <w:rFonts w:ascii="Arial" w:hAnsi="Arial" w:cs="Arial"/>
        </w:rPr>
        <w:t>.  Because the goals of the PFS were to reduce underage drinking and also prescri</w:t>
      </w:r>
      <w:r w:rsidR="006C7575">
        <w:rPr>
          <w:rFonts w:ascii="Arial" w:hAnsi="Arial" w:cs="Arial"/>
        </w:rPr>
        <w:t xml:space="preserve">ption drug misuse among persons </w:t>
      </w:r>
      <w:r>
        <w:rPr>
          <w:rFonts w:ascii="Arial" w:hAnsi="Arial" w:cs="Arial"/>
        </w:rPr>
        <w:t>aged 12 to 25, reductions in the rates of these behaviors, and associated risk factors, would by themselves be noteworthy</w:t>
      </w:r>
      <w:r w:rsidR="006C7575">
        <w:rPr>
          <w:rFonts w:ascii="Arial" w:hAnsi="Arial" w:cs="Arial"/>
        </w:rPr>
        <w:t xml:space="preserve"> as they would i</w:t>
      </w:r>
      <w:r w:rsidR="000C64CB">
        <w:rPr>
          <w:rFonts w:ascii="Arial" w:hAnsi="Arial" w:cs="Arial"/>
        </w:rPr>
        <w:t>ndicate that PFS goals were</w:t>
      </w:r>
      <w:r>
        <w:rPr>
          <w:rFonts w:ascii="Arial" w:hAnsi="Arial" w:cs="Arial"/>
        </w:rPr>
        <w:t xml:space="preserve"> being achieved. </w:t>
      </w:r>
    </w:p>
    <w:p w14:paraId="18D81B25" w14:textId="794F217A" w:rsidR="00ED2C1F" w:rsidRDefault="000C64CB" w:rsidP="00BF42BB">
      <w:pPr>
        <w:spacing w:after="280"/>
        <w:rPr>
          <w:rFonts w:ascii="Arial" w:hAnsi="Arial" w:cs="Arial"/>
        </w:rPr>
      </w:pPr>
      <w:r>
        <w:rPr>
          <w:rFonts w:ascii="Arial" w:hAnsi="Arial" w:cs="Arial"/>
        </w:rPr>
        <w:t xml:space="preserve">Whether these desirable changes can be attributed specifically to </w:t>
      </w:r>
      <w:r w:rsidR="004A5CED">
        <w:rPr>
          <w:rFonts w:ascii="Arial" w:hAnsi="Arial" w:cs="Arial"/>
        </w:rPr>
        <w:t xml:space="preserve">the PFS-funded activities remains speculative.  </w:t>
      </w:r>
      <w:r w:rsidRPr="000C64CB">
        <w:rPr>
          <w:rFonts w:ascii="Arial" w:hAnsi="Arial" w:cs="Arial"/>
        </w:rPr>
        <w:t xml:space="preserve">Confidence </w:t>
      </w:r>
      <w:r w:rsidR="00FC168D">
        <w:rPr>
          <w:rFonts w:ascii="Arial" w:hAnsi="Arial" w:cs="Arial"/>
        </w:rPr>
        <w:t>in making this attribution, however, is increased when</w:t>
      </w:r>
      <w:r w:rsidRPr="000C64CB">
        <w:rPr>
          <w:rFonts w:ascii="Arial" w:hAnsi="Arial" w:cs="Arial"/>
        </w:rPr>
        <w:t xml:space="preserve"> less favorable outcomes are observed in the non-funded areas.  </w:t>
      </w:r>
      <w:r w:rsidR="00ED2C1F">
        <w:rPr>
          <w:rFonts w:ascii="Arial" w:hAnsi="Arial" w:cs="Arial"/>
        </w:rPr>
        <w:t>The second pha</w:t>
      </w:r>
      <w:r>
        <w:rPr>
          <w:rFonts w:ascii="Arial" w:hAnsi="Arial" w:cs="Arial"/>
        </w:rPr>
        <w:t xml:space="preserve">se of the analysis, therefore, </w:t>
      </w:r>
      <w:r w:rsidR="00ED2C1F" w:rsidRPr="00C76309">
        <w:rPr>
          <w:rFonts w:ascii="Arial" w:hAnsi="Arial" w:cs="Arial"/>
        </w:rPr>
        <w:t>was to c</w:t>
      </w:r>
      <w:r w:rsidR="00ED2C1F">
        <w:rPr>
          <w:rFonts w:ascii="Arial" w:hAnsi="Arial" w:cs="Arial"/>
        </w:rPr>
        <w:t>ompar</w:t>
      </w:r>
      <w:r w:rsidR="00EA0439">
        <w:rPr>
          <w:rFonts w:ascii="Arial" w:hAnsi="Arial" w:cs="Arial"/>
        </w:rPr>
        <w:t xml:space="preserve">e </w:t>
      </w:r>
      <w:r w:rsidR="009405FB">
        <w:rPr>
          <w:rFonts w:ascii="Arial" w:hAnsi="Arial" w:cs="Arial"/>
        </w:rPr>
        <w:t>changes between baseline and follow-up years</w:t>
      </w:r>
      <w:r w:rsidR="00EA0439" w:rsidRPr="00C76309">
        <w:rPr>
          <w:rFonts w:ascii="Arial" w:hAnsi="Arial" w:cs="Arial"/>
        </w:rPr>
        <w:t xml:space="preserve"> in prevalence rates</w:t>
      </w:r>
      <w:r w:rsidR="00EA0439">
        <w:rPr>
          <w:rFonts w:ascii="Arial" w:hAnsi="Arial" w:cs="Arial"/>
        </w:rPr>
        <w:t xml:space="preserve"> for outcome measures from the</w:t>
      </w:r>
      <w:r w:rsidR="00EA0439" w:rsidRPr="00C76309">
        <w:rPr>
          <w:rFonts w:ascii="Arial" w:hAnsi="Arial" w:cs="Arial"/>
        </w:rPr>
        <w:t xml:space="preserve"> two surveys</w:t>
      </w:r>
      <w:r w:rsidR="009F7973">
        <w:rPr>
          <w:rFonts w:ascii="Arial" w:hAnsi="Arial" w:cs="Arial"/>
        </w:rPr>
        <w:t xml:space="preserve"> </w:t>
      </w:r>
      <w:r w:rsidR="00ED2C1F">
        <w:rPr>
          <w:rFonts w:ascii="Arial" w:hAnsi="Arial" w:cs="Arial"/>
        </w:rPr>
        <w:t xml:space="preserve">for </w:t>
      </w:r>
      <w:r w:rsidR="00ED2C1F" w:rsidRPr="00C76309">
        <w:rPr>
          <w:rFonts w:ascii="Arial" w:hAnsi="Arial" w:cs="Arial"/>
        </w:rPr>
        <w:t xml:space="preserve">the </w:t>
      </w:r>
      <w:r w:rsidR="00ED2C1F">
        <w:rPr>
          <w:rFonts w:ascii="Arial" w:hAnsi="Arial" w:cs="Arial"/>
        </w:rPr>
        <w:t>PFS-</w:t>
      </w:r>
      <w:r w:rsidR="00ED2C1F" w:rsidRPr="00C76309">
        <w:rPr>
          <w:rFonts w:ascii="Arial" w:hAnsi="Arial" w:cs="Arial"/>
        </w:rPr>
        <w:t>funded regions, collectively, to those experienced in the remainder of the state</w:t>
      </w:r>
      <w:r w:rsidR="00ED2C1F">
        <w:rPr>
          <w:rFonts w:ascii="Arial" w:hAnsi="Arial" w:cs="Arial"/>
        </w:rPr>
        <w:t>.  Statistical tests were then employed to determine whether the changes over time were sign</w:t>
      </w:r>
      <w:r w:rsidR="00464CFA">
        <w:rPr>
          <w:rFonts w:ascii="Arial" w:hAnsi="Arial" w:cs="Arial"/>
        </w:rPr>
        <w:t xml:space="preserve">ificantly different between </w:t>
      </w:r>
      <w:r w:rsidR="00ED2C1F">
        <w:rPr>
          <w:rFonts w:ascii="Arial" w:hAnsi="Arial" w:cs="Arial"/>
        </w:rPr>
        <w:t>PFS and non-PFS areas.</w:t>
      </w:r>
    </w:p>
    <w:p w14:paraId="59C5F4DA" w14:textId="77777777" w:rsidR="00ED2C1F" w:rsidRDefault="00ED2C1F" w:rsidP="00F02297">
      <w:pPr>
        <w:pStyle w:val="H2"/>
      </w:pPr>
      <w:bookmarkStart w:id="8" w:name="_Toc470697743"/>
      <w:r w:rsidRPr="00C76309">
        <w:lastRenderedPageBreak/>
        <w:t>Measures</w:t>
      </w:r>
      <w:bookmarkEnd w:id="8"/>
      <w:r w:rsidRPr="00C76309">
        <w:t xml:space="preserve"> </w:t>
      </w:r>
    </w:p>
    <w:p w14:paraId="1A4F2A3C" w14:textId="77777777" w:rsidR="00796FFF" w:rsidRPr="00C76309" w:rsidRDefault="00796FFF" w:rsidP="00796FFF">
      <w:pPr>
        <w:rPr>
          <w:rFonts w:ascii="Arial" w:hAnsi="Arial" w:cs="Arial"/>
          <w:b/>
          <w:bCs/>
        </w:rPr>
      </w:pPr>
    </w:p>
    <w:p w14:paraId="6A140DDF" w14:textId="77777777" w:rsidR="004A5CED" w:rsidRDefault="00ED2C1F" w:rsidP="00796FFF">
      <w:pPr>
        <w:rPr>
          <w:rFonts w:ascii="Arial" w:hAnsi="Arial" w:cs="Arial"/>
          <w:color w:val="000000"/>
        </w:rPr>
      </w:pPr>
      <w:r w:rsidRPr="0042242C">
        <w:rPr>
          <w:rFonts w:ascii="Arial" w:hAnsi="Arial" w:cs="Arial"/>
          <w:color w:val="000000"/>
        </w:rPr>
        <w:t>Outcome measures examined included self-reported substance use behaviors related to the PFS project goals and well-established risk factors associated with these behaviors</w:t>
      </w:r>
      <w:r w:rsidR="004A5CED">
        <w:rPr>
          <w:rFonts w:ascii="Arial" w:hAnsi="Arial" w:cs="Arial"/>
          <w:color w:val="000000"/>
        </w:rPr>
        <w:t xml:space="preserve">.  For example, </w:t>
      </w:r>
      <w:r w:rsidRPr="0042242C">
        <w:rPr>
          <w:rFonts w:ascii="Arial" w:hAnsi="Arial" w:cs="Arial"/>
          <w:color w:val="000000"/>
        </w:rPr>
        <w:t>low perceived risk of harm from binge drinking is a ri</w:t>
      </w:r>
      <w:r w:rsidR="004A5CED">
        <w:rPr>
          <w:rFonts w:ascii="Arial" w:hAnsi="Arial" w:cs="Arial"/>
          <w:color w:val="000000"/>
        </w:rPr>
        <w:t>sk factor for underage drinking</w:t>
      </w:r>
      <w:r w:rsidRPr="0042242C">
        <w:rPr>
          <w:rFonts w:ascii="Arial" w:hAnsi="Arial" w:cs="Arial"/>
          <w:color w:val="000000"/>
        </w:rPr>
        <w:t xml:space="preserve">.  In the results presented here, these measures are summarized in the form of prevalence rates (e.g., the percent of students reporting any alcohol use in the past 30 days; the percent of students perceiving no risk or only slight risk from binge drinking), and further summarized as </w:t>
      </w:r>
      <w:r w:rsidR="00FC168D">
        <w:rPr>
          <w:rFonts w:ascii="Arial" w:hAnsi="Arial" w:cs="Arial"/>
          <w:color w:val="000000"/>
        </w:rPr>
        <w:t>the percent change</w:t>
      </w:r>
      <w:r w:rsidRPr="0042242C">
        <w:rPr>
          <w:rFonts w:ascii="Arial" w:hAnsi="Arial" w:cs="Arial"/>
          <w:color w:val="000000"/>
        </w:rPr>
        <w:t xml:space="preserve"> </w:t>
      </w:r>
      <w:r w:rsidR="002F1B17">
        <w:rPr>
          <w:rFonts w:ascii="Arial" w:hAnsi="Arial" w:cs="Arial"/>
          <w:color w:val="000000"/>
        </w:rPr>
        <w:t>in prevalence rates from baseline to</w:t>
      </w:r>
      <w:r w:rsidR="009F7973">
        <w:rPr>
          <w:rFonts w:ascii="Arial" w:hAnsi="Arial" w:cs="Arial"/>
          <w:color w:val="000000"/>
        </w:rPr>
        <w:t xml:space="preserve"> follow-up</w:t>
      </w:r>
      <w:r w:rsidRPr="0042242C">
        <w:rPr>
          <w:rFonts w:ascii="Arial" w:hAnsi="Arial" w:cs="Arial"/>
          <w:color w:val="000000"/>
        </w:rPr>
        <w:t>.  All risk factor measures were defined</w:t>
      </w:r>
      <w:r>
        <w:rPr>
          <w:rFonts w:ascii="Arial" w:hAnsi="Arial" w:cs="Arial"/>
          <w:color w:val="000000"/>
        </w:rPr>
        <w:t xml:space="preserve"> such that lower rates indicate</w:t>
      </w:r>
      <w:r w:rsidRPr="0042242C">
        <w:rPr>
          <w:rFonts w:ascii="Arial" w:hAnsi="Arial" w:cs="Arial"/>
          <w:color w:val="000000"/>
        </w:rPr>
        <w:t xml:space="preserve"> lower levels of risk.  Reductions in prevalence rates, therefore, were desirable for all </w:t>
      </w:r>
      <w:r w:rsidR="004A5CED">
        <w:rPr>
          <w:rFonts w:ascii="Arial" w:hAnsi="Arial" w:cs="Arial"/>
          <w:color w:val="000000"/>
        </w:rPr>
        <w:t xml:space="preserve">substance use behavior and risk factor </w:t>
      </w:r>
      <w:r w:rsidRPr="0042242C">
        <w:rPr>
          <w:rFonts w:ascii="Arial" w:hAnsi="Arial" w:cs="Arial"/>
          <w:color w:val="000000"/>
        </w:rPr>
        <w:t>measures analyzed.  Brief definitions for both the substance use measures and the risk fact</w:t>
      </w:r>
      <w:r w:rsidR="00A969C5">
        <w:rPr>
          <w:rFonts w:ascii="Arial" w:hAnsi="Arial" w:cs="Arial"/>
          <w:color w:val="000000"/>
        </w:rPr>
        <w:t>ors are provided in T</w:t>
      </w:r>
      <w:r w:rsidR="00796FFF">
        <w:rPr>
          <w:rFonts w:ascii="Arial" w:hAnsi="Arial" w:cs="Arial"/>
          <w:color w:val="000000"/>
        </w:rPr>
        <w:t>ables 1 and 2 below</w:t>
      </w:r>
      <w:r w:rsidRPr="0042242C">
        <w:rPr>
          <w:rFonts w:ascii="Arial" w:hAnsi="Arial" w:cs="Arial"/>
          <w:color w:val="000000"/>
        </w:rPr>
        <w:t xml:space="preserve">.  </w:t>
      </w:r>
    </w:p>
    <w:p w14:paraId="1E650831" w14:textId="77777777" w:rsidR="00796FFF" w:rsidRDefault="00796FFF" w:rsidP="00796FFF">
      <w:pPr>
        <w:rPr>
          <w:rFonts w:ascii="Arial" w:hAnsi="Arial" w:cs="Arial"/>
          <w:color w:val="000000"/>
        </w:rPr>
      </w:pPr>
    </w:p>
    <w:p w14:paraId="24F81406" w14:textId="77777777" w:rsidR="00ED2C1F" w:rsidRDefault="00ED2C1F" w:rsidP="00F02297">
      <w:pPr>
        <w:pStyle w:val="H2"/>
      </w:pPr>
      <w:bookmarkStart w:id="9" w:name="_Toc470697744"/>
      <w:r w:rsidRPr="00C76309">
        <w:t>Findings</w:t>
      </w:r>
      <w:r w:rsidR="00152C4A">
        <w:t xml:space="preserve"> from the YRBS data</w:t>
      </w:r>
      <w:bookmarkEnd w:id="9"/>
    </w:p>
    <w:p w14:paraId="5C24E3F3" w14:textId="77777777" w:rsidR="00796FFF" w:rsidRPr="00C76309" w:rsidRDefault="00796FFF" w:rsidP="00796FFF">
      <w:pPr>
        <w:rPr>
          <w:rFonts w:ascii="Arial" w:hAnsi="Arial" w:cs="Arial"/>
          <w:b/>
          <w:bCs/>
        </w:rPr>
      </w:pPr>
    </w:p>
    <w:p w14:paraId="0E49BCD8" w14:textId="5BD6CDEE" w:rsidR="00ED2C1F" w:rsidRPr="0042242C" w:rsidRDefault="00ED2C1F" w:rsidP="00423478">
      <w:pPr>
        <w:rPr>
          <w:rFonts w:ascii="Times New Roman" w:hAnsi="Times New Roman" w:cs="Times New Roman"/>
          <w:color w:val="000000"/>
          <w:sz w:val="24"/>
          <w:szCs w:val="24"/>
        </w:rPr>
      </w:pPr>
      <w:r w:rsidRPr="0042242C">
        <w:rPr>
          <w:rFonts w:ascii="Arial" w:hAnsi="Arial" w:cs="Arial"/>
          <w:color w:val="000000"/>
        </w:rPr>
        <w:t xml:space="preserve">Findings regarding past 30-day use of alcohol </w:t>
      </w:r>
      <w:r w:rsidR="00423478">
        <w:rPr>
          <w:rFonts w:ascii="Arial" w:hAnsi="Arial" w:cs="Arial"/>
          <w:color w:val="000000"/>
        </w:rPr>
        <w:t xml:space="preserve">by high school </w:t>
      </w:r>
      <w:r w:rsidRPr="0042242C">
        <w:rPr>
          <w:rFonts w:ascii="Arial" w:hAnsi="Arial" w:cs="Arial"/>
          <w:color w:val="000000"/>
        </w:rPr>
        <w:t xml:space="preserve">students are shown in Figure 1.  Incorporated into the figure are the 2013 and 2015 prevalence rates for past 30-day use (also referred to as “current use”) for the PFS-funded regions collectively as compared to the remainder of the state.  </w:t>
      </w:r>
      <w:r w:rsidR="004A5CED">
        <w:rPr>
          <w:rFonts w:ascii="Arial" w:hAnsi="Arial" w:cs="Arial"/>
          <w:color w:val="000000"/>
        </w:rPr>
        <w:t>Th</w:t>
      </w:r>
      <w:r w:rsidR="009405FB">
        <w:rPr>
          <w:rFonts w:ascii="Arial" w:hAnsi="Arial" w:cs="Arial"/>
          <w:color w:val="000000"/>
        </w:rPr>
        <w:t>e figure indicates that while</w:t>
      </w:r>
      <w:r w:rsidR="004A5CED">
        <w:rPr>
          <w:rFonts w:ascii="Arial" w:hAnsi="Arial" w:cs="Arial"/>
          <w:color w:val="000000"/>
        </w:rPr>
        <w:t xml:space="preserve"> </w:t>
      </w:r>
      <w:r w:rsidR="004A5CED" w:rsidRPr="004A5CED">
        <w:rPr>
          <w:rFonts w:ascii="Arial" w:hAnsi="Arial" w:cs="Arial"/>
          <w:color w:val="000000"/>
        </w:rPr>
        <w:t xml:space="preserve">the prevalence rate for </w:t>
      </w:r>
      <w:r w:rsidR="00423478">
        <w:rPr>
          <w:rFonts w:ascii="Arial" w:hAnsi="Arial" w:cs="Arial"/>
          <w:color w:val="000000"/>
        </w:rPr>
        <w:t>current alcohol use among high</w:t>
      </w:r>
      <w:r w:rsidR="004A5CED" w:rsidRPr="004A5CED">
        <w:rPr>
          <w:rFonts w:ascii="Arial" w:hAnsi="Arial" w:cs="Arial"/>
          <w:color w:val="000000"/>
        </w:rPr>
        <w:t xml:space="preserve"> school students decreased in </w:t>
      </w:r>
      <w:r w:rsidR="00423478">
        <w:rPr>
          <w:rFonts w:ascii="Arial" w:hAnsi="Arial" w:cs="Arial"/>
          <w:color w:val="000000"/>
        </w:rPr>
        <w:t xml:space="preserve">both the PFS and non-PFS areas, the decrease was more pronounced in the PFS areas.  </w:t>
      </w:r>
      <w:r w:rsidR="004A5CED" w:rsidRPr="004A5CED">
        <w:rPr>
          <w:rFonts w:ascii="Arial" w:hAnsi="Arial" w:cs="Arial"/>
          <w:color w:val="000000"/>
        </w:rPr>
        <w:t>Specifically, the difference between 2013 and 2015 i</w:t>
      </w:r>
      <w:r w:rsidR="00423478">
        <w:rPr>
          <w:rFonts w:ascii="Arial" w:hAnsi="Arial" w:cs="Arial"/>
          <w:color w:val="000000"/>
        </w:rPr>
        <w:t xml:space="preserve">n the PFS areas represents an 13.6 percent </w:t>
      </w:r>
      <w:r w:rsidR="004A5CED" w:rsidRPr="00423478">
        <w:rPr>
          <w:rFonts w:ascii="Arial" w:hAnsi="Arial" w:cs="Arial"/>
          <w:color w:val="000000"/>
        </w:rPr>
        <w:t>decrease</w:t>
      </w:r>
      <w:r w:rsidR="004A5CED">
        <w:rPr>
          <w:rFonts w:ascii="Arial" w:hAnsi="Arial" w:cs="Arial"/>
          <w:color w:val="000000"/>
        </w:rPr>
        <w:t>,</w:t>
      </w:r>
      <w:r w:rsidR="00423478">
        <w:rPr>
          <w:rFonts w:ascii="Arial" w:hAnsi="Arial" w:cs="Arial"/>
          <w:color w:val="000000"/>
        </w:rPr>
        <w:t xml:space="preserve"> from 33.9% in 2013 to 29.3% </w:t>
      </w:r>
      <w:r w:rsidR="004A5CED" w:rsidRPr="004A5CED">
        <w:rPr>
          <w:rFonts w:ascii="Arial" w:hAnsi="Arial" w:cs="Arial"/>
          <w:color w:val="000000"/>
        </w:rPr>
        <w:t>in 2015, whereas current alco</w:t>
      </w:r>
      <w:r w:rsidR="00423478">
        <w:rPr>
          <w:rFonts w:ascii="Arial" w:hAnsi="Arial" w:cs="Arial"/>
          <w:color w:val="000000"/>
        </w:rPr>
        <w:t xml:space="preserve">hol use in the non-funded areas decreased by only 6.9 percent. </w:t>
      </w:r>
      <w:r w:rsidRPr="0042242C">
        <w:rPr>
          <w:rFonts w:ascii="Arial" w:hAnsi="Arial" w:cs="Arial"/>
          <w:color w:val="000000"/>
        </w:rPr>
        <w:t xml:space="preserve">For this outcome measure, the difference in the </w:t>
      </w:r>
      <w:r w:rsidR="00423478">
        <w:rPr>
          <w:rFonts w:ascii="Arial" w:hAnsi="Arial" w:cs="Arial"/>
          <w:color w:val="000000"/>
        </w:rPr>
        <w:t xml:space="preserve">percent </w:t>
      </w:r>
      <w:r w:rsidRPr="0042242C">
        <w:rPr>
          <w:rFonts w:ascii="Arial" w:hAnsi="Arial" w:cs="Arial"/>
          <w:color w:val="000000"/>
        </w:rPr>
        <w:t xml:space="preserve">change over time between the </w:t>
      </w:r>
      <w:r w:rsidR="00C951AF">
        <w:rPr>
          <w:rFonts w:ascii="Arial" w:hAnsi="Arial" w:cs="Arial"/>
          <w:color w:val="000000"/>
        </w:rPr>
        <w:t>PFS-</w:t>
      </w:r>
      <w:r w:rsidRPr="0042242C">
        <w:rPr>
          <w:rFonts w:ascii="Arial" w:hAnsi="Arial" w:cs="Arial"/>
          <w:color w:val="000000"/>
        </w:rPr>
        <w:t>funded and un</w:t>
      </w:r>
      <w:r w:rsidR="004A5CED">
        <w:rPr>
          <w:rFonts w:ascii="Arial" w:hAnsi="Arial" w:cs="Arial"/>
          <w:color w:val="000000"/>
        </w:rPr>
        <w:t xml:space="preserve">funded areas was </w:t>
      </w:r>
      <w:r w:rsidRPr="0042242C">
        <w:rPr>
          <w:rFonts w:ascii="Arial" w:hAnsi="Arial" w:cs="Arial"/>
          <w:color w:val="000000"/>
        </w:rPr>
        <w:t>statis</w:t>
      </w:r>
      <w:r w:rsidR="00423478">
        <w:rPr>
          <w:rFonts w:ascii="Arial" w:hAnsi="Arial" w:cs="Arial"/>
          <w:color w:val="000000"/>
        </w:rPr>
        <w:t>tically significant at the p&lt;.05</w:t>
      </w:r>
      <w:r w:rsidRPr="0042242C">
        <w:rPr>
          <w:rFonts w:ascii="Arial" w:hAnsi="Arial" w:cs="Arial"/>
          <w:color w:val="000000"/>
        </w:rPr>
        <w:t xml:space="preserve"> level.</w:t>
      </w:r>
    </w:p>
    <w:p w14:paraId="274364E0" w14:textId="77777777" w:rsidR="00423478" w:rsidRDefault="00423478" w:rsidP="00BE178F">
      <w:pPr>
        <w:spacing w:after="120"/>
        <w:rPr>
          <w:rFonts w:ascii="Arial" w:hAnsi="Arial" w:cs="Arial"/>
          <w:color w:val="000000"/>
          <w:sz w:val="20"/>
          <w:szCs w:val="20"/>
        </w:rPr>
      </w:pPr>
    </w:p>
    <w:p w14:paraId="3DDE5C99" w14:textId="73887344" w:rsidR="00BE178F" w:rsidRPr="00BE178F" w:rsidRDefault="00BE178F" w:rsidP="00BE178F">
      <w:pPr>
        <w:spacing w:after="120"/>
        <w:rPr>
          <w:rFonts w:ascii="Arial" w:hAnsi="Arial" w:cs="Arial"/>
          <w:color w:val="000000"/>
          <w:sz w:val="20"/>
          <w:szCs w:val="20"/>
        </w:rPr>
      </w:pPr>
      <w:r w:rsidRPr="00D8753B">
        <w:rPr>
          <w:rFonts w:ascii="Arial" w:hAnsi="Arial" w:cs="Arial"/>
          <w:b/>
          <w:color w:val="000000"/>
          <w:sz w:val="20"/>
          <w:szCs w:val="20"/>
        </w:rPr>
        <w:t>Figure 1.</w:t>
      </w:r>
      <w:r w:rsidR="00D8753B">
        <w:rPr>
          <w:rFonts w:ascii="Arial" w:hAnsi="Arial" w:cs="Arial"/>
          <w:color w:val="000000"/>
          <w:sz w:val="20"/>
          <w:szCs w:val="20"/>
        </w:rPr>
        <w:t xml:space="preserve">  Percent of high</w:t>
      </w:r>
      <w:r>
        <w:rPr>
          <w:rFonts w:ascii="Arial" w:hAnsi="Arial" w:cs="Arial"/>
          <w:color w:val="000000"/>
          <w:sz w:val="20"/>
          <w:szCs w:val="20"/>
        </w:rPr>
        <w:t xml:space="preserve"> school students reporting past 30-day alcohol use, by year and PFS status</w:t>
      </w:r>
    </w:p>
    <w:p w14:paraId="169320EB" w14:textId="1CE2DAFC" w:rsidR="00BE178F" w:rsidRDefault="00D8753B" w:rsidP="00BE178F">
      <w:pPr>
        <w:spacing w:after="280"/>
        <w:rPr>
          <w:rFonts w:ascii="Arial" w:hAnsi="Arial" w:cs="Arial"/>
          <w:color w:val="000000"/>
        </w:rPr>
      </w:pPr>
      <w:r>
        <w:rPr>
          <w:noProof/>
        </w:rPr>
        <w:drawing>
          <wp:inline distT="0" distB="0" distL="0" distR="0" wp14:anchorId="45F7BAC8" wp14:editId="54BADA9C">
            <wp:extent cx="3566160" cy="2468880"/>
            <wp:effectExtent l="0" t="0" r="1524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6287DA" w14:textId="77777777" w:rsidR="00ED2C1F" w:rsidRPr="0042242C" w:rsidRDefault="00ED2C1F" w:rsidP="00BE178F">
      <w:pPr>
        <w:spacing w:before="120" w:after="280"/>
        <w:rPr>
          <w:rFonts w:ascii="Times New Roman" w:hAnsi="Times New Roman" w:cs="Times New Roman"/>
          <w:color w:val="000000"/>
          <w:sz w:val="24"/>
          <w:szCs w:val="24"/>
        </w:rPr>
      </w:pPr>
      <w:r w:rsidRPr="0042242C">
        <w:rPr>
          <w:rFonts w:ascii="Arial" w:hAnsi="Arial" w:cs="Arial"/>
          <w:color w:val="000000"/>
        </w:rPr>
        <w:t>The prevalence rates reported in Figure 1 were obtained using a statistical procedure</w:t>
      </w:r>
      <w:r w:rsidR="00747899">
        <w:rPr>
          <w:rStyle w:val="FootnoteReference"/>
          <w:rFonts w:ascii="Arial" w:hAnsi="Arial" w:cs="Arial"/>
          <w:color w:val="000000"/>
        </w:rPr>
        <w:footnoteReference w:id="2"/>
      </w:r>
      <w:r w:rsidRPr="0042242C">
        <w:rPr>
          <w:rFonts w:ascii="Arial" w:hAnsi="Arial" w:cs="Arial"/>
          <w:color w:val="000000"/>
        </w:rPr>
        <w:t xml:space="preserve"> that adjusted the rates for differences between years and between the funded and unfunded areas in underlying demographic characteristics of the respondents.  The same procedure also provided the test of statistical significance for the differences between PFS and non-PFS </w:t>
      </w:r>
      <w:r w:rsidRPr="0042242C">
        <w:rPr>
          <w:rFonts w:ascii="Arial" w:hAnsi="Arial" w:cs="Arial"/>
          <w:color w:val="000000"/>
        </w:rPr>
        <w:lastRenderedPageBreak/>
        <w:t xml:space="preserve">regions with respect to the percent change experienced between 2013 and 2015.  All prevalence rates shown in this </w:t>
      </w:r>
      <w:r w:rsidR="00796FFF">
        <w:rPr>
          <w:rFonts w:ascii="Arial" w:hAnsi="Arial" w:cs="Arial"/>
          <w:color w:val="000000"/>
        </w:rPr>
        <w:t>report, as well as the percent change</w:t>
      </w:r>
      <w:r w:rsidRPr="0042242C">
        <w:rPr>
          <w:rFonts w:ascii="Arial" w:hAnsi="Arial" w:cs="Arial"/>
          <w:color w:val="000000"/>
        </w:rPr>
        <w:t xml:space="preserve"> in </w:t>
      </w:r>
      <w:r w:rsidR="00796FFF">
        <w:rPr>
          <w:rFonts w:ascii="Arial" w:hAnsi="Arial" w:cs="Arial"/>
          <w:color w:val="000000"/>
        </w:rPr>
        <w:t>the rates between baseline and follow-up</w:t>
      </w:r>
      <w:r w:rsidRPr="0042242C">
        <w:rPr>
          <w:rFonts w:ascii="Arial" w:hAnsi="Arial" w:cs="Arial"/>
          <w:color w:val="000000"/>
        </w:rPr>
        <w:t>, were generated by this procedure.  These rates a</w:t>
      </w:r>
      <w:r w:rsidR="009405FB">
        <w:rPr>
          <w:rFonts w:ascii="Arial" w:hAnsi="Arial" w:cs="Arial"/>
          <w:color w:val="000000"/>
        </w:rPr>
        <w:t xml:space="preserve">re </w:t>
      </w:r>
      <w:r w:rsidRPr="0042242C">
        <w:rPr>
          <w:rFonts w:ascii="Arial" w:hAnsi="Arial" w:cs="Arial"/>
          <w:color w:val="000000"/>
        </w:rPr>
        <w:t>similar to, but not exa</w:t>
      </w:r>
      <w:r w:rsidR="009F7973">
        <w:rPr>
          <w:rFonts w:ascii="Arial" w:hAnsi="Arial" w:cs="Arial"/>
          <w:color w:val="000000"/>
        </w:rPr>
        <w:t>ctly the same as, rates that could</w:t>
      </w:r>
      <w:r w:rsidRPr="0042242C">
        <w:rPr>
          <w:rFonts w:ascii="Arial" w:hAnsi="Arial" w:cs="Arial"/>
          <w:color w:val="000000"/>
        </w:rPr>
        <w:t xml:space="preserve"> be obtained directly from the weighted data, and are preferable for comparison purposes because they reduce the influence of demographic differences among the groups being compared. </w:t>
      </w:r>
    </w:p>
    <w:p w14:paraId="50027DAD" w14:textId="77777777" w:rsidR="00347E72" w:rsidRDefault="00ED2C1F" w:rsidP="00347E72">
      <w:pPr>
        <w:spacing w:after="360"/>
        <w:rPr>
          <w:rFonts w:ascii="Arial" w:hAnsi="Arial" w:cs="Arial"/>
        </w:rPr>
      </w:pPr>
      <w:r w:rsidRPr="0042242C">
        <w:rPr>
          <w:rFonts w:ascii="Arial" w:hAnsi="Arial" w:cs="Arial"/>
          <w:color w:val="000000"/>
        </w:rPr>
        <w:t>Rather than provide th</w:t>
      </w:r>
      <w:r w:rsidR="00664C06">
        <w:rPr>
          <w:rFonts w:ascii="Arial" w:hAnsi="Arial" w:cs="Arial"/>
          <w:color w:val="000000"/>
        </w:rPr>
        <w:t xml:space="preserve">e baseline and follow-up rates </w:t>
      </w:r>
      <w:r w:rsidRPr="0042242C">
        <w:rPr>
          <w:rFonts w:ascii="Arial" w:hAnsi="Arial" w:cs="Arial"/>
          <w:color w:val="000000"/>
        </w:rPr>
        <w:t>for every outcome measure examined</w:t>
      </w:r>
      <w:r w:rsidR="00136633">
        <w:rPr>
          <w:rFonts w:ascii="Arial" w:hAnsi="Arial" w:cs="Arial"/>
          <w:color w:val="000000"/>
        </w:rPr>
        <w:t xml:space="preserve"> and for both PFS and non-PFS areas</w:t>
      </w:r>
      <w:r w:rsidRPr="0042242C">
        <w:rPr>
          <w:rFonts w:ascii="Arial" w:hAnsi="Arial" w:cs="Arial"/>
          <w:color w:val="000000"/>
        </w:rPr>
        <w:t xml:space="preserve">, the findings have been consolidated into tables that show just the </w:t>
      </w:r>
      <w:r w:rsidR="002F6C42">
        <w:rPr>
          <w:rFonts w:ascii="Arial" w:hAnsi="Arial" w:cs="Arial"/>
          <w:color w:val="000000"/>
        </w:rPr>
        <w:t>PFS baseline rate</w:t>
      </w:r>
      <w:r w:rsidR="00113ED7">
        <w:rPr>
          <w:rFonts w:ascii="Arial" w:hAnsi="Arial" w:cs="Arial"/>
          <w:color w:val="000000"/>
        </w:rPr>
        <w:t>s</w:t>
      </w:r>
      <w:r w:rsidR="002F6C42">
        <w:rPr>
          <w:rFonts w:ascii="Arial" w:hAnsi="Arial" w:cs="Arial"/>
          <w:color w:val="000000"/>
        </w:rPr>
        <w:t xml:space="preserve"> along with the </w:t>
      </w:r>
      <w:r w:rsidRPr="0042242C">
        <w:rPr>
          <w:rFonts w:ascii="Arial" w:hAnsi="Arial" w:cs="Arial"/>
          <w:color w:val="000000"/>
        </w:rPr>
        <w:t>percent change</w:t>
      </w:r>
      <w:r w:rsidR="004C0872">
        <w:rPr>
          <w:rStyle w:val="FootnoteReference"/>
          <w:rFonts w:ascii="Arial" w:hAnsi="Arial" w:cs="Arial"/>
          <w:color w:val="000000"/>
        </w:rPr>
        <w:footnoteReference w:id="3"/>
      </w:r>
      <w:r w:rsidRPr="0042242C">
        <w:rPr>
          <w:rFonts w:ascii="Arial" w:hAnsi="Arial" w:cs="Arial"/>
          <w:color w:val="000000"/>
        </w:rPr>
        <w:t xml:space="preserve"> values between the baseline and follow-up year for </w:t>
      </w:r>
      <w:r w:rsidR="00664C06">
        <w:rPr>
          <w:rFonts w:ascii="Arial" w:hAnsi="Arial" w:cs="Arial"/>
          <w:color w:val="000000"/>
        </w:rPr>
        <w:t xml:space="preserve">each of </w:t>
      </w:r>
      <w:r w:rsidRPr="0042242C">
        <w:rPr>
          <w:rFonts w:ascii="Arial" w:hAnsi="Arial" w:cs="Arial"/>
          <w:color w:val="000000"/>
        </w:rPr>
        <w:t>the</w:t>
      </w:r>
      <w:r w:rsidR="002F6C42">
        <w:rPr>
          <w:rFonts w:ascii="Arial" w:hAnsi="Arial" w:cs="Arial"/>
          <w:color w:val="000000"/>
        </w:rPr>
        <w:t xml:space="preserve"> two groups being compared.   </w:t>
      </w:r>
      <w:r w:rsidRPr="0042242C">
        <w:rPr>
          <w:rFonts w:ascii="Arial" w:hAnsi="Arial" w:cs="Arial"/>
          <w:color w:val="000000"/>
        </w:rPr>
        <w:t xml:space="preserve">The summary for all outcome measures from the YRBS is provided in Table 1.  </w:t>
      </w:r>
    </w:p>
    <w:p w14:paraId="0A9C3AA1" w14:textId="46BFAD58" w:rsidR="00796FFF" w:rsidRDefault="00796FFF" w:rsidP="00796FFF">
      <w:pPr>
        <w:rPr>
          <w:rFonts w:ascii="Arial" w:hAnsi="Arial" w:cs="Arial"/>
        </w:rPr>
      </w:pPr>
      <w:r w:rsidRPr="00C76309">
        <w:rPr>
          <w:rFonts w:ascii="Arial" w:hAnsi="Arial" w:cs="Arial"/>
        </w:rPr>
        <w:t>F</w:t>
      </w:r>
      <w:r>
        <w:rPr>
          <w:rFonts w:ascii="Arial" w:hAnsi="Arial" w:cs="Arial"/>
        </w:rPr>
        <w:t>or each outcome measure</w:t>
      </w:r>
      <w:r w:rsidRPr="00C76309">
        <w:rPr>
          <w:rFonts w:ascii="Arial" w:hAnsi="Arial" w:cs="Arial"/>
        </w:rPr>
        <w:t>, the table shows the percent change from 2013 to 2015 for the PFS-funded regions collectively, and also for</w:t>
      </w:r>
      <w:r>
        <w:rPr>
          <w:rFonts w:ascii="Arial" w:hAnsi="Arial" w:cs="Arial"/>
        </w:rPr>
        <w:t xml:space="preserve"> the remainder (i.e. non-funded</w:t>
      </w:r>
      <w:r w:rsidRPr="00C76309">
        <w:rPr>
          <w:rFonts w:ascii="Arial" w:hAnsi="Arial" w:cs="Arial"/>
        </w:rPr>
        <w:t xml:space="preserve"> areas</w:t>
      </w:r>
      <w:r>
        <w:rPr>
          <w:rFonts w:ascii="Arial" w:hAnsi="Arial" w:cs="Arial"/>
        </w:rPr>
        <w:t>)</w:t>
      </w:r>
      <w:r w:rsidRPr="00C76309">
        <w:rPr>
          <w:rFonts w:ascii="Arial" w:hAnsi="Arial" w:cs="Arial"/>
        </w:rPr>
        <w:t xml:space="preserve"> of t</w:t>
      </w:r>
      <w:r>
        <w:rPr>
          <w:rFonts w:ascii="Arial" w:hAnsi="Arial" w:cs="Arial"/>
        </w:rPr>
        <w:t>he state.  The change scores were</w:t>
      </w:r>
      <w:r w:rsidRPr="00C76309">
        <w:rPr>
          <w:rFonts w:ascii="Arial" w:hAnsi="Arial" w:cs="Arial"/>
        </w:rPr>
        <w:t xml:space="preserve"> calculated as the relative percent difference from the baseline, so negative values represent </w:t>
      </w:r>
      <w:r w:rsidRPr="00C76309">
        <w:rPr>
          <w:rFonts w:ascii="Arial" w:hAnsi="Arial" w:cs="Arial"/>
          <w:u w:val="single"/>
        </w:rPr>
        <w:t>decreases</w:t>
      </w:r>
      <w:r w:rsidRPr="00C76309">
        <w:rPr>
          <w:rFonts w:ascii="Arial" w:hAnsi="Arial" w:cs="Arial"/>
        </w:rPr>
        <w:t xml:space="preserve"> in the prevalence rates.  To highlight desirable patterns of change among the PFS funded regions, </w:t>
      </w:r>
      <w:r>
        <w:rPr>
          <w:rFonts w:ascii="Arial" w:hAnsi="Arial" w:cs="Arial"/>
        </w:rPr>
        <w:t xml:space="preserve">cells containing negative percent change values </w:t>
      </w:r>
      <w:r w:rsidR="0010448A">
        <w:rPr>
          <w:rFonts w:ascii="Arial" w:hAnsi="Arial" w:cs="Arial"/>
        </w:rPr>
        <w:t xml:space="preserve">(i.e., decreases) </w:t>
      </w:r>
      <w:r>
        <w:rPr>
          <w:rFonts w:ascii="Arial" w:hAnsi="Arial" w:cs="Arial"/>
        </w:rPr>
        <w:t>a</w:t>
      </w:r>
      <w:r w:rsidRPr="00C76309">
        <w:rPr>
          <w:rFonts w:ascii="Arial" w:hAnsi="Arial" w:cs="Arial"/>
        </w:rPr>
        <w:t xml:space="preserve">re </w:t>
      </w:r>
      <w:r>
        <w:rPr>
          <w:rFonts w:ascii="Arial" w:hAnsi="Arial" w:cs="Arial"/>
        </w:rPr>
        <w:t xml:space="preserve">shaded with </w:t>
      </w:r>
      <w:r w:rsidRPr="00C76309">
        <w:rPr>
          <w:rFonts w:ascii="Arial" w:hAnsi="Arial" w:cs="Arial"/>
        </w:rPr>
        <w:t>green.  For measures in which the change experienced by the PFS regions (whether a</w:t>
      </w:r>
      <w:r>
        <w:rPr>
          <w:rFonts w:ascii="Arial" w:hAnsi="Arial" w:cs="Arial"/>
        </w:rPr>
        <w:t xml:space="preserve"> decrease or an increase) was</w:t>
      </w:r>
      <w:r w:rsidRPr="00C76309">
        <w:rPr>
          <w:rFonts w:ascii="Arial" w:hAnsi="Arial" w:cs="Arial"/>
        </w:rPr>
        <w:t xml:space="preserve"> favorable for the PFS </w:t>
      </w:r>
      <w:r>
        <w:rPr>
          <w:rFonts w:ascii="Arial" w:hAnsi="Arial" w:cs="Arial"/>
        </w:rPr>
        <w:t>region</w:t>
      </w:r>
      <w:r w:rsidR="002F1B17">
        <w:rPr>
          <w:rFonts w:ascii="Arial" w:hAnsi="Arial" w:cs="Arial"/>
        </w:rPr>
        <w:t>s</w:t>
      </w:r>
      <w:r>
        <w:rPr>
          <w:rFonts w:ascii="Arial" w:hAnsi="Arial" w:cs="Arial"/>
        </w:rPr>
        <w:t xml:space="preserve"> </w:t>
      </w:r>
      <w:r w:rsidRPr="00C76309">
        <w:rPr>
          <w:rFonts w:ascii="Arial" w:hAnsi="Arial" w:cs="Arial"/>
        </w:rPr>
        <w:t>relative to the change observed for the non-PFS regions</w:t>
      </w:r>
      <w:r>
        <w:rPr>
          <w:rFonts w:ascii="Arial" w:hAnsi="Arial" w:cs="Arial"/>
        </w:rPr>
        <w:t xml:space="preserve"> (e.g., a larger drop in the prevalence was observed for the PFS grantees compared to the non-funded areas of the state)</w:t>
      </w:r>
      <w:r w:rsidRPr="00C76309">
        <w:rPr>
          <w:rFonts w:ascii="Arial" w:hAnsi="Arial" w:cs="Arial"/>
        </w:rPr>
        <w:t>, a green checkmark is shown in the “Favorable Difference” column.</w:t>
      </w:r>
      <w:r w:rsidR="00676F9F">
        <w:rPr>
          <w:rFonts w:ascii="Arial" w:hAnsi="Arial" w:cs="Arial"/>
        </w:rPr>
        <w:t xml:space="preserve">  </w:t>
      </w:r>
      <w:r w:rsidR="00B97FBA">
        <w:rPr>
          <w:rFonts w:ascii="Arial" w:hAnsi="Arial" w:cs="Arial"/>
        </w:rPr>
        <w:t xml:space="preserve">A similar comparison </w:t>
      </w:r>
      <w:r w:rsidR="0010448A">
        <w:rPr>
          <w:rFonts w:ascii="Arial" w:hAnsi="Arial" w:cs="Arial"/>
        </w:rPr>
        <w:t>was made between each of the six</w:t>
      </w:r>
      <w:r w:rsidR="00B97FBA">
        <w:rPr>
          <w:rFonts w:ascii="Arial" w:hAnsi="Arial" w:cs="Arial"/>
        </w:rPr>
        <w:t xml:space="preserve"> PFS-funded regions and the non-funded areas.  </w:t>
      </w:r>
      <w:r w:rsidR="00676F9F">
        <w:rPr>
          <w:rFonts w:ascii="Arial" w:hAnsi="Arial" w:cs="Arial"/>
        </w:rPr>
        <w:t xml:space="preserve">The right-most column of the table shows the </w:t>
      </w:r>
      <w:r w:rsidR="0010448A">
        <w:rPr>
          <w:rFonts w:ascii="Arial" w:hAnsi="Arial" w:cs="Arial"/>
        </w:rPr>
        <w:t>number of grantees (out of the six</w:t>
      </w:r>
      <w:r w:rsidR="00676F9F">
        <w:rPr>
          <w:rFonts w:ascii="Arial" w:hAnsi="Arial" w:cs="Arial"/>
        </w:rPr>
        <w:t xml:space="preserve"> total) for which the percent change experienced by each grantee was favorable relative to that experienced in the non-funded areas.</w:t>
      </w:r>
      <w:r w:rsidR="00A04633">
        <w:rPr>
          <w:rStyle w:val="FootnoteReference"/>
          <w:rFonts w:ascii="Arial" w:hAnsi="Arial" w:cs="Arial"/>
        </w:rPr>
        <w:footnoteReference w:id="4"/>
      </w:r>
      <w:r w:rsidR="00676F9F">
        <w:rPr>
          <w:rFonts w:ascii="Arial" w:hAnsi="Arial" w:cs="Arial"/>
        </w:rPr>
        <w:t xml:space="preserve">  </w:t>
      </w:r>
    </w:p>
    <w:p w14:paraId="2681F1BB" w14:textId="77777777" w:rsidR="00796FFF" w:rsidRDefault="00796FFF" w:rsidP="00796FFF">
      <w:pPr>
        <w:rPr>
          <w:rFonts w:ascii="Arial" w:hAnsi="Arial" w:cs="Arial"/>
        </w:rPr>
      </w:pPr>
    </w:p>
    <w:p w14:paraId="643C3282" w14:textId="2810BD67" w:rsidR="00676F9F" w:rsidRDefault="00676F9F" w:rsidP="00796FFF">
      <w:pPr>
        <w:rPr>
          <w:rFonts w:ascii="Arial" w:hAnsi="Arial" w:cs="Arial"/>
        </w:rPr>
      </w:pPr>
      <w:r>
        <w:rPr>
          <w:rFonts w:ascii="Arial" w:hAnsi="Arial" w:cs="Arial"/>
        </w:rPr>
        <w:t>Three</w:t>
      </w:r>
      <w:r w:rsidR="00796FFF">
        <w:rPr>
          <w:rFonts w:ascii="Arial" w:hAnsi="Arial" w:cs="Arial"/>
        </w:rPr>
        <w:t xml:space="preserve"> overall patterns in the YRBS findings (Table 1) are evident.  First, almost all prevalence rates for both behaviors and risk factors, and for both middle school and high school students, decreased between 2013 and 2015.   The percent declines in some of these measures were substantial.</w:t>
      </w:r>
      <w:r w:rsidR="00796FFF">
        <w:rPr>
          <w:rStyle w:val="FootnoteReference"/>
          <w:rFonts w:ascii="Arial" w:hAnsi="Arial" w:cs="Arial"/>
        </w:rPr>
        <w:footnoteReference w:id="5"/>
      </w:r>
      <w:r w:rsidR="00796FFF">
        <w:rPr>
          <w:rFonts w:ascii="Arial" w:hAnsi="Arial" w:cs="Arial"/>
        </w:rPr>
        <w:t xml:space="preserve">  Second, although most rates also declined in the non-funded regions of the state as well, the declines in the PFS-funded areas were generally more pronounced.  In fact, among high school students, the percent changes were more favorable to the PFS-funded regions for every outcome measure examined.  Many of the differences in percent change from 2013 between funded and non-funded regions were relatively small.   </w:t>
      </w:r>
      <w:r w:rsidR="002F1B17">
        <w:rPr>
          <w:rFonts w:ascii="Arial" w:hAnsi="Arial" w:cs="Arial"/>
        </w:rPr>
        <w:t>The reduction</w:t>
      </w:r>
      <w:r w:rsidR="00796FFF">
        <w:rPr>
          <w:rFonts w:ascii="Arial" w:hAnsi="Arial" w:cs="Arial"/>
        </w:rPr>
        <w:t xml:space="preserve"> in past 30-day use of alcohol</w:t>
      </w:r>
      <w:r w:rsidR="002F1B17">
        <w:rPr>
          <w:rFonts w:ascii="Arial" w:hAnsi="Arial" w:cs="Arial"/>
        </w:rPr>
        <w:t xml:space="preserve"> among high school students</w:t>
      </w:r>
      <w:r w:rsidR="00796FFF">
        <w:rPr>
          <w:rFonts w:ascii="Arial" w:hAnsi="Arial" w:cs="Arial"/>
        </w:rPr>
        <w:t xml:space="preserve">, however, was significantly greater </w:t>
      </w:r>
      <w:r w:rsidR="002F1B17">
        <w:rPr>
          <w:rFonts w:ascii="Arial" w:hAnsi="Arial" w:cs="Arial"/>
        </w:rPr>
        <w:t>in the PFS regions</w:t>
      </w:r>
      <w:r w:rsidR="009405FB">
        <w:rPr>
          <w:rFonts w:ascii="Arial" w:hAnsi="Arial" w:cs="Arial"/>
        </w:rPr>
        <w:t xml:space="preserve"> </w:t>
      </w:r>
      <w:r w:rsidR="00796FFF">
        <w:rPr>
          <w:rFonts w:ascii="Arial" w:hAnsi="Arial" w:cs="Arial"/>
        </w:rPr>
        <w:t xml:space="preserve">(p&lt;.05) and the difference was also marginally significant (p&lt;.10) for </w:t>
      </w:r>
      <w:r w:rsidR="00DB2B58">
        <w:rPr>
          <w:rFonts w:ascii="Arial" w:hAnsi="Arial" w:cs="Arial"/>
        </w:rPr>
        <w:t xml:space="preserve">current alcohol use among </w:t>
      </w:r>
      <w:r w:rsidR="00796FFF">
        <w:rPr>
          <w:rFonts w:ascii="Arial" w:hAnsi="Arial" w:cs="Arial"/>
        </w:rPr>
        <w:t>middle school students.</w:t>
      </w:r>
      <w:r>
        <w:rPr>
          <w:rFonts w:ascii="Arial" w:hAnsi="Arial" w:cs="Arial"/>
        </w:rPr>
        <w:t xml:space="preserve">  Third, the favorable differences observed for the PFS regions collectively also were found for the majority of individual PFS regions.  Specifically, for the </w:t>
      </w:r>
      <w:r w:rsidR="006A3AD6">
        <w:rPr>
          <w:rFonts w:ascii="Arial" w:hAnsi="Arial" w:cs="Arial"/>
        </w:rPr>
        <w:t>16</w:t>
      </w:r>
      <w:r>
        <w:rPr>
          <w:rFonts w:ascii="Arial" w:hAnsi="Arial" w:cs="Arial"/>
        </w:rPr>
        <w:t xml:space="preserve"> measures for which there was an overall favorable difference, a minimum of three out of the six PFS regions also experienced a more favorable change than the change experienced in the non-funded areas</w:t>
      </w:r>
      <w:r w:rsidR="006A3AD6">
        <w:rPr>
          <w:rFonts w:ascii="Arial" w:hAnsi="Arial" w:cs="Arial"/>
        </w:rPr>
        <w:t xml:space="preserve">, and for some measures all six PFS regions did so.  Across all 16 </w:t>
      </w:r>
      <w:r w:rsidR="0010448A">
        <w:rPr>
          <w:rFonts w:ascii="Arial" w:hAnsi="Arial" w:cs="Arial"/>
        </w:rPr>
        <w:t xml:space="preserve">of these </w:t>
      </w:r>
      <w:r w:rsidR="006A3AD6">
        <w:rPr>
          <w:rFonts w:ascii="Arial" w:hAnsi="Arial" w:cs="Arial"/>
        </w:rPr>
        <w:t>measu</w:t>
      </w:r>
      <w:r w:rsidR="003A7B09">
        <w:rPr>
          <w:rFonts w:ascii="Arial" w:hAnsi="Arial" w:cs="Arial"/>
        </w:rPr>
        <w:t>res, the mean number of regions</w:t>
      </w:r>
      <w:r w:rsidR="006A3AD6">
        <w:rPr>
          <w:rFonts w:ascii="Arial" w:hAnsi="Arial" w:cs="Arial"/>
        </w:rPr>
        <w:t xml:space="preserve"> that experienc</w:t>
      </w:r>
      <w:r w:rsidR="0010448A">
        <w:rPr>
          <w:rFonts w:ascii="Arial" w:hAnsi="Arial" w:cs="Arial"/>
        </w:rPr>
        <w:t>ed</w:t>
      </w:r>
      <w:r w:rsidR="006A3AD6">
        <w:rPr>
          <w:rFonts w:ascii="Arial" w:hAnsi="Arial" w:cs="Arial"/>
        </w:rPr>
        <w:t xml:space="preserve"> a favorable difference relative to the non-funded areas was 4.25.  </w:t>
      </w:r>
    </w:p>
    <w:p w14:paraId="001167A5" w14:textId="77777777" w:rsidR="00ED2C1F" w:rsidRPr="00347E72" w:rsidRDefault="00ED2C1F" w:rsidP="00347E72">
      <w:pPr>
        <w:spacing w:after="120"/>
        <w:rPr>
          <w:rFonts w:ascii="Arial" w:hAnsi="Arial" w:cs="Arial"/>
          <w:bCs/>
        </w:rPr>
      </w:pPr>
      <w:r w:rsidRPr="00D8753B">
        <w:rPr>
          <w:rFonts w:ascii="Arial" w:hAnsi="Arial" w:cs="Arial"/>
          <w:b/>
          <w:bCs/>
        </w:rPr>
        <w:lastRenderedPageBreak/>
        <w:t>Table 1</w:t>
      </w:r>
      <w:r w:rsidR="005F2487">
        <w:rPr>
          <w:rFonts w:ascii="Arial" w:hAnsi="Arial" w:cs="Arial"/>
          <w:bCs/>
        </w:rPr>
        <w:t>. Summary of PFS effects on m</w:t>
      </w:r>
      <w:r w:rsidRPr="00347E72">
        <w:rPr>
          <w:rFonts w:ascii="Arial" w:hAnsi="Arial" w:cs="Arial"/>
          <w:bCs/>
        </w:rPr>
        <w:t xml:space="preserve">iddle and </w:t>
      </w:r>
      <w:r w:rsidR="005F2487">
        <w:rPr>
          <w:rFonts w:ascii="Arial" w:hAnsi="Arial" w:cs="Arial"/>
          <w:bCs/>
        </w:rPr>
        <w:t>high s</w:t>
      </w:r>
      <w:r w:rsidRPr="00347E72">
        <w:rPr>
          <w:rFonts w:ascii="Arial" w:hAnsi="Arial" w:cs="Arial"/>
          <w:bCs/>
        </w:rPr>
        <w:t xml:space="preserve">chool </w:t>
      </w:r>
      <w:r w:rsidR="005F2487">
        <w:rPr>
          <w:rFonts w:ascii="Arial" w:hAnsi="Arial" w:cs="Arial"/>
          <w:bCs/>
        </w:rPr>
        <w:t>s</w:t>
      </w:r>
      <w:r w:rsidRPr="00347E72">
        <w:rPr>
          <w:rFonts w:ascii="Arial" w:hAnsi="Arial" w:cs="Arial"/>
          <w:bCs/>
        </w:rPr>
        <w:t>tudents (from YRBS)</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2"/>
        <w:gridCol w:w="1075"/>
        <w:gridCol w:w="1350"/>
        <w:gridCol w:w="1350"/>
        <w:gridCol w:w="1440"/>
        <w:gridCol w:w="1440"/>
      </w:tblGrid>
      <w:tr w:rsidR="009D01C9" w:rsidRPr="00DB67E5" w14:paraId="17D2B5C8" w14:textId="0A3A6E98" w:rsidTr="009D01C9">
        <w:tc>
          <w:tcPr>
            <w:tcW w:w="3312" w:type="dxa"/>
            <w:shd w:val="clear" w:color="auto" w:fill="F2F2F2"/>
          </w:tcPr>
          <w:p w14:paraId="36C1E142" w14:textId="77777777" w:rsidR="009D01C9" w:rsidRPr="00D82997" w:rsidRDefault="009D01C9" w:rsidP="00DB67E5">
            <w:pPr>
              <w:rPr>
                <w:rFonts w:ascii="Arial" w:hAnsi="Arial" w:cs="Arial"/>
                <w:sz w:val="20"/>
                <w:szCs w:val="20"/>
              </w:rPr>
            </w:pPr>
          </w:p>
        </w:tc>
        <w:tc>
          <w:tcPr>
            <w:tcW w:w="1075" w:type="dxa"/>
            <w:shd w:val="clear" w:color="auto" w:fill="F2F2F2"/>
            <w:vAlign w:val="bottom"/>
          </w:tcPr>
          <w:p w14:paraId="46EB8349" w14:textId="77777777" w:rsidR="009D01C9" w:rsidRDefault="009D01C9" w:rsidP="009D01C9">
            <w:pPr>
              <w:rPr>
                <w:rFonts w:ascii="Arial" w:hAnsi="Arial" w:cs="Arial"/>
                <w:sz w:val="20"/>
                <w:szCs w:val="20"/>
              </w:rPr>
            </w:pPr>
            <w:r>
              <w:rPr>
                <w:rFonts w:ascii="Arial" w:hAnsi="Arial" w:cs="Arial"/>
                <w:sz w:val="20"/>
                <w:szCs w:val="20"/>
              </w:rPr>
              <w:t>Baseline Rate</w:t>
            </w:r>
          </w:p>
          <w:p w14:paraId="5418549F" w14:textId="545F3D5E" w:rsidR="009D01C9" w:rsidRPr="00D82997" w:rsidRDefault="009D01C9" w:rsidP="009D01C9">
            <w:pPr>
              <w:rPr>
                <w:rFonts w:ascii="Arial" w:hAnsi="Arial" w:cs="Arial"/>
                <w:sz w:val="20"/>
                <w:szCs w:val="20"/>
              </w:rPr>
            </w:pPr>
            <w:r>
              <w:rPr>
                <w:rFonts w:ascii="Arial" w:hAnsi="Arial" w:cs="Arial"/>
                <w:sz w:val="20"/>
                <w:szCs w:val="20"/>
              </w:rPr>
              <w:t>(PFS)</w:t>
            </w:r>
          </w:p>
        </w:tc>
        <w:tc>
          <w:tcPr>
            <w:tcW w:w="1350" w:type="dxa"/>
            <w:shd w:val="clear" w:color="auto" w:fill="F2F2F2"/>
            <w:vAlign w:val="bottom"/>
          </w:tcPr>
          <w:p w14:paraId="44732E14" w14:textId="77777777" w:rsidR="009D01C9" w:rsidRDefault="009D01C9" w:rsidP="009D01C9">
            <w:pPr>
              <w:rPr>
                <w:rFonts w:ascii="Arial" w:hAnsi="Arial" w:cs="Arial"/>
                <w:sz w:val="20"/>
                <w:szCs w:val="20"/>
              </w:rPr>
            </w:pPr>
          </w:p>
          <w:p w14:paraId="11BB98B3" w14:textId="77777777" w:rsidR="009D01C9" w:rsidRPr="00D82997" w:rsidRDefault="009D01C9" w:rsidP="009D01C9">
            <w:pPr>
              <w:rPr>
                <w:rFonts w:ascii="Arial" w:hAnsi="Arial" w:cs="Arial"/>
                <w:sz w:val="20"/>
                <w:szCs w:val="20"/>
                <w:vertAlign w:val="superscript"/>
              </w:rPr>
            </w:pPr>
            <w:r w:rsidRPr="00D82997">
              <w:rPr>
                <w:rFonts w:ascii="Arial" w:hAnsi="Arial" w:cs="Arial"/>
                <w:sz w:val="20"/>
                <w:szCs w:val="20"/>
              </w:rPr>
              <w:t>Pct Change</w:t>
            </w:r>
            <w:r w:rsidRPr="00D82997">
              <w:rPr>
                <w:rFonts w:ascii="Arial" w:hAnsi="Arial" w:cs="Arial"/>
                <w:sz w:val="20"/>
                <w:szCs w:val="20"/>
                <w:vertAlign w:val="superscript"/>
              </w:rPr>
              <w:t>1</w:t>
            </w:r>
          </w:p>
          <w:p w14:paraId="64DDBFED" w14:textId="066206C8" w:rsidR="009D01C9" w:rsidRPr="00D82997" w:rsidRDefault="009D01C9" w:rsidP="009D01C9">
            <w:pPr>
              <w:rPr>
                <w:rFonts w:ascii="Arial" w:hAnsi="Arial" w:cs="Arial"/>
                <w:sz w:val="20"/>
                <w:szCs w:val="20"/>
              </w:rPr>
            </w:pPr>
            <w:r>
              <w:rPr>
                <w:rFonts w:ascii="Arial" w:hAnsi="Arial" w:cs="Arial"/>
                <w:sz w:val="20"/>
                <w:szCs w:val="20"/>
              </w:rPr>
              <w:t>(PFS)</w:t>
            </w:r>
          </w:p>
        </w:tc>
        <w:tc>
          <w:tcPr>
            <w:tcW w:w="1350" w:type="dxa"/>
            <w:shd w:val="clear" w:color="auto" w:fill="F2F2F2"/>
            <w:vAlign w:val="bottom"/>
          </w:tcPr>
          <w:p w14:paraId="2A18CA14" w14:textId="77777777" w:rsidR="009D01C9" w:rsidRDefault="009D01C9" w:rsidP="009D01C9">
            <w:pPr>
              <w:rPr>
                <w:rFonts w:ascii="Arial" w:hAnsi="Arial" w:cs="Arial"/>
                <w:sz w:val="20"/>
                <w:szCs w:val="20"/>
              </w:rPr>
            </w:pPr>
          </w:p>
          <w:p w14:paraId="140D3916" w14:textId="77777777" w:rsidR="009D01C9" w:rsidRPr="00D82997" w:rsidRDefault="009D01C9" w:rsidP="009D01C9">
            <w:pPr>
              <w:rPr>
                <w:rFonts w:ascii="Arial" w:hAnsi="Arial" w:cs="Arial"/>
                <w:sz w:val="20"/>
                <w:szCs w:val="20"/>
                <w:vertAlign w:val="subscript"/>
              </w:rPr>
            </w:pPr>
            <w:r w:rsidRPr="00D82997">
              <w:rPr>
                <w:rFonts w:ascii="Arial" w:hAnsi="Arial" w:cs="Arial"/>
                <w:sz w:val="20"/>
                <w:szCs w:val="20"/>
              </w:rPr>
              <w:t>Pct Change</w:t>
            </w:r>
            <w:r w:rsidRPr="00D82997">
              <w:rPr>
                <w:rFonts w:ascii="Arial" w:hAnsi="Arial" w:cs="Arial"/>
                <w:sz w:val="20"/>
                <w:szCs w:val="20"/>
                <w:vertAlign w:val="superscript"/>
              </w:rPr>
              <w:t>2</w:t>
            </w:r>
          </w:p>
          <w:p w14:paraId="5A53AFF9" w14:textId="2C87649E" w:rsidR="009D01C9" w:rsidRPr="00D82997" w:rsidRDefault="009D01C9" w:rsidP="009D01C9">
            <w:pPr>
              <w:rPr>
                <w:rFonts w:ascii="Arial" w:hAnsi="Arial" w:cs="Arial"/>
                <w:sz w:val="20"/>
                <w:szCs w:val="20"/>
                <w:vertAlign w:val="superscript"/>
              </w:rPr>
            </w:pPr>
            <w:r>
              <w:rPr>
                <w:rFonts w:ascii="Arial" w:hAnsi="Arial" w:cs="Arial"/>
                <w:sz w:val="20"/>
                <w:szCs w:val="20"/>
              </w:rPr>
              <w:t>(Non-PFS)</w:t>
            </w:r>
            <w:r w:rsidRPr="00D82997">
              <w:rPr>
                <w:rFonts w:ascii="Arial" w:hAnsi="Arial" w:cs="Arial"/>
                <w:sz w:val="20"/>
                <w:szCs w:val="20"/>
              </w:rPr>
              <w:t xml:space="preserve"> </w:t>
            </w:r>
          </w:p>
        </w:tc>
        <w:tc>
          <w:tcPr>
            <w:tcW w:w="1440" w:type="dxa"/>
            <w:shd w:val="clear" w:color="auto" w:fill="F2F2F2"/>
            <w:vAlign w:val="bottom"/>
          </w:tcPr>
          <w:p w14:paraId="5792B906" w14:textId="3CD4692E" w:rsidR="009D01C9" w:rsidRPr="00D82997" w:rsidRDefault="009D01C9" w:rsidP="009D01C9">
            <w:pPr>
              <w:rPr>
                <w:rFonts w:ascii="Arial" w:hAnsi="Arial" w:cs="Arial"/>
                <w:sz w:val="20"/>
                <w:szCs w:val="20"/>
              </w:rPr>
            </w:pPr>
            <w:r>
              <w:rPr>
                <w:rFonts w:ascii="Arial" w:hAnsi="Arial" w:cs="Arial"/>
                <w:sz w:val="20"/>
                <w:szCs w:val="20"/>
              </w:rPr>
              <w:t xml:space="preserve">Overall </w:t>
            </w:r>
            <w:r w:rsidRPr="00D82997">
              <w:rPr>
                <w:rFonts w:ascii="Arial" w:hAnsi="Arial" w:cs="Arial"/>
                <w:sz w:val="20"/>
                <w:szCs w:val="20"/>
              </w:rPr>
              <w:t>Favorable</w:t>
            </w:r>
          </w:p>
          <w:p w14:paraId="32D105A7" w14:textId="77777777" w:rsidR="009D01C9" w:rsidRPr="00D82997" w:rsidRDefault="009D01C9" w:rsidP="009D01C9">
            <w:pPr>
              <w:rPr>
                <w:rFonts w:ascii="Arial" w:hAnsi="Arial" w:cs="Arial"/>
                <w:sz w:val="20"/>
                <w:szCs w:val="20"/>
                <w:vertAlign w:val="superscript"/>
              </w:rPr>
            </w:pPr>
            <w:r w:rsidRPr="00D82997">
              <w:rPr>
                <w:rFonts w:ascii="Arial" w:hAnsi="Arial" w:cs="Arial"/>
                <w:sz w:val="20"/>
                <w:szCs w:val="20"/>
              </w:rPr>
              <w:t>Difference?</w:t>
            </w:r>
            <w:r w:rsidRPr="00D82997">
              <w:rPr>
                <w:rFonts w:ascii="Arial" w:hAnsi="Arial" w:cs="Arial"/>
                <w:sz w:val="20"/>
                <w:szCs w:val="20"/>
                <w:vertAlign w:val="superscript"/>
              </w:rPr>
              <w:t>3</w:t>
            </w:r>
            <w:r>
              <w:rPr>
                <w:rFonts w:ascii="Arial" w:hAnsi="Arial" w:cs="Arial"/>
                <w:sz w:val="20"/>
                <w:szCs w:val="20"/>
                <w:vertAlign w:val="superscript"/>
              </w:rPr>
              <w:t>,4</w:t>
            </w:r>
          </w:p>
        </w:tc>
        <w:tc>
          <w:tcPr>
            <w:tcW w:w="1440" w:type="dxa"/>
            <w:shd w:val="clear" w:color="auto" w:fill="F2F2F2"/>
            <w:vAlign w:val="bottom"/>
          </w:tcPr>
          <w:p w14:paraId="7EB16FA4" w14:textId="38B6ACBF" w:rsidR="009D01C9" w:rsidRDefault="009D01C9" w:rsidP="009D01C9">
            <w:pPr>
              <w:rPr>
                <w:rFonts w:ascii="Arial" w:hAnsi="Arial" w:cs="Arial"/>
                <w:sz w:val="20"/>
                <w:szCs w:val="20"/>
              </w:rPr>
            </w:pPr>
            <w:r>
              <w:rPr>
                <w:rFonts w:ascii="Arial" w:hAnsi="Arial" w:cs="Arial"/>
                <w:sz w:val="20"/>
                <w:szCs w:val="20"/>
              </w:rPr>
              <w:t xml:space="preserve">Number of PFS </w:t>
            </w:r>
            <w:r w:rsidR="003A7B09">
              <w:rPr>
                <w:rFonts w:ascii="Arial" w:hAnsi="Arial" w:cs="Arial"/>
                <w:sz w:val="20"/>
                <w:szCs w:val="20"/>
              </w:rPr>
              <w:t>regions</w:t>
            </w:r>
            <w:r>
              <w:rPr>
                <w:rFonts w:ascii="Arial" w:hAnsi="Arial" w:cs="Arial"/>
                <w:sz w:val="20"/>
                <w:szCs w:val="20"/>
              </w:rPr>
              <w:t xml:space="preserve"> that had favorable difference</w:t>
            </w:r>
          </w:p>
        </w:tc>
      </w:tr>
      <w:tr w:rsidR="009D01C9" w:rsidRPr="00DB67E5" w14:paraId="67C8C6D1" w14:textId="7814F025" w:rsidTr="009D01C9">
        <w:tc>
          <w:tcPr>
            <w:tcW w:w="3312" w:type="dxa"/>
            <w:shd w:val="clear" w:color="auto" w:fill="F2F2F2"/>
          </w:tcPr>
          <w:p w14:paraId="09947288" w14:textId="77777777" w:rsidR="009D01C9" w:rsidRPr="00D82997" w:rsidRDefault="009D01C9" w:rsidP="00090441">
            <w:pPr>
              <w:rPr>
                <w:rFonts w:ascii="Arial" w:hAnsi="Arial" w:cs="Arial"/>
                <w:b/>
                <w:bCs/>
                <w:sz w:val="20"/>
                <w:szCs w:val="20"/>
              </w:rPr>
            </w:pPr>
            <w:r w:rsidRPr="00D82997">
              <w:rPr>
                <w:rFonts w:ascii="Arial" w:hAnsi="Arial" w:cs="Arial"/>
                <w:b/>
                <w:bCs/>
                <w:sz w:val="20"/>
                <w:szCs w:val="20"/>
              </w:rPr>
              <w:t>Middle School Students</w:t>
            </w:r>
          </w:p>
        </w:tc>
        <w:tc>
          <w:tcPr>
            <w:tcW w:w="1075" w:type="dxa"/>
            <w:shd w:val="clear" w:color="auto" w:fill="F2F2F2"/>
            <w:vAlign w:val="center"/>
          </w:tcPr>
          <w:p w14:paraId="1EFA79B7" w14:textId="77777777" w:rsidR="009D01C9" w:rsidRPr="002F6C42" w:rsidRDefault="009D01C9" w:rsidP="002F6C42">
            <w:pPr>
              <w:rPr>
                <w:rFonts w:ascii="Arial" w:hAnsi="Arial" w:cs="Arial"/>
                <w:bCs/>
                <w:sz w:val="20"/>
                <w:szCs w:val="20"/>
              </w:rPr>
            </w:pPr>
          </w:p>
        </w:tc>
        <w:tc>
          <w:tcPr>
            <w:tcW w:w="1350" w:type="dxa"/>
            <w:shd w:val="clear" w:color="auto" w:fill="F2F2F2"/>
            <w:vAlign w:val="center"/>
          </w:tcPr>
          <w:p w14:paraId="0A1C1EB3" w14:textId="77777777" w:rsidR="009D01C9" w:rsidRPr="00D82997" w:rsidRDefault="009D01C9" w:rsidP="002F6C42">
            <w:pPr>
              <w:jc w:val="center"/>
              <w:rPr>
                <w:rFonts w:ascii="Arial" w:hAnsi="Arial" w:cs="Arial"/>
                <w:sz w:val="20"/>
                <w:szCs w:val="20"/>
              </w:rPr>
            </w:pPr>
          </w:p>
        </w:tc>
        <w:tc>
          <w:tcPr>
            <w:tcW w:w="1350" w:type="dxa"/>
            <w:shd w:val="clear" w:color="auto" w:fill="F2F2F2"/>
          </w:tcPr>
          <w:p w14:paraId="73D27BDC" w14:textId="77777777" w:rsidR="009D01C9" w:rsidRPr="00D82997" w:rsidRDefault="009D01C9" w:rsidP="00090441">
            <w:pPr>
              <w:rPr>
                <w:rFonts w:ascii="Arial" w:hAnsi="Arial" w:cs="Arial"/>
                <w:sz w:val="20"/>
                <w:szCs w:val="20"/>
              </w:rPr>
            </w:pPr>
          </w:p>
        </w:tc>
        <w:tc>
          <w:tcPr>
            <w:tcW w:w="1440" w:type="dxa"/>
            <w:shd w:val="clear" w:color="auto" w:fill="F2F2F2"/>
          </w:tcPr>
          <w:p w14:paraId="6CE6A805" w14:textId="77777777" w:rsidR="009D01C9" w:rsidRPr="00D82997" w:rsidRDefault="009D01C9" w:rsidP="00090441">
            <w:pPr>
              <w:rPr>
                <w:rFonts w:ascii="Arial" w:hAnsi="Arial" w:cs="Arial"/>
                <w:sz w:val="20"/>
                <w:szCs w:val="20"/>
              </w:rPr>
            </w:pPr>
          </w:p>
        </w:tc>
        <w:tc>
          <w:tcPr>
            <w:tcW w:w="1440" w:type="dxa"/>
            <w:shd w:val="clear" w:color="auto" w:fill="F2F2F2"/>
          </w:tcPr>
          <w:p w14:paraId="564DA829" w14:textId="77777777" w:rsidR="009D01C9" w:rsidRPr="00D82997" w:rsidRDefault="009D01C9" w:rsidP="00090441">
            <w:pPr>
              <w:rPr>
                <w:rFonts w:ascii="Arial" w:hAnsi="Arial" w:cs="Arial"/>
                <w:sz w:val="20"/>
                <w:szCs w:val="20"/>
              </w:rPr>
            </w:pPr>
          </w:p>
        </w:tc>
      </w:tr>
      <w:tr w:rsidR="009D01C9" w:rsidRPr="00DB67E5" w14:paraId="5CEC4B0F" w14:textId="7C391C4F" w:rsidTr="009D01C9">
        <w:tc>
          <w:tcPr>
            <w:tcW w:w="3312" w:type="dxa"/>
            <w:shd w:val="clear" w:color="auto" w:fill="F2F2F2"/>
          </w:tcPr>
          <w:p w14:paraId="1C803BA3" w14:textId="77777777" w:rsidR="009D01C9" w:rsidRPr="00723082" w:rsidRDefault="009D01C9" w:rsidP="00090441">
            <w:pPr>
              <w:rPr>
                <w:rFonts w:ascii="Arial" w:hAnsi="Arial" w:cs="Arial"/>
                <w:sz w:val="20"/>
                <w:szCs w:val="20"/>
                <w:vertAlign w:val="superscript"/>
              </w:rPr>
            </w:pPr>
            <w:r w:rsidRPr="00D82997">
              <w:rPr>
                <w:rFonts w:ascii="Arial" w:hAnsi="Arial" w:cs="Arial"/>
                <w:sz w:val="20"/>
                <w:szCs w:val="20"/>
              </w:rPr>
              <w:t>Substance Use Behaviors</w:t>
            </w:r>
            <w:r>
              <w:rPr>
                <w:rFonts w:ascii="Arial" w:hAnsi="Arial" w:cs="Arial"/>
                <w:sz w:val="20"/>
                <w:szCs w:val="20"/>
                <w:vertAlign w:val="superscript"/>
              </w:rPr>
              <w:t>5</w:t>
            </w:r>
          </w:p>
        </w:tc>
        <w:tc>
          <w:tcPr>
            <w:tcW w:w="1075" w:type="dxa"/>
            <w:shd w:val="clear" w:color="auto" w:fill="F2F2F2"/>
          </w:tcPr>
          <w:p w14:paraId="7E7C8B6B" w14:textId="77777777" w:rsidR="009D01C9" w:rsidRPr="00D82997" w:rsidRDefault="009D01C9" w:rsidP="00090441">
            <w:pPr>
              <w:rPr>
                <w:rFonts w:ascii="Arial" w:hAnsi="Arial" w:cs="Arial"/>
                <w:sz w:val="20"/>
                <w:szCs w:val="20"/>
              </w:rPr>
            </w:pPr>
          </w:p>
        </w:tc>
        <w:tc>
          <w:tcPr>
            <w:tcW w:w="1350" w:type="dxa"/>
            <w:tcBorders>
              <w:bottom w:val="single" w:sz="4" w:space="0" w:color="auto"/>
            </w:tcBorders>
            <w:shd w:val="clear" w:color="auto" w:fill="F2F2F2"/>
          </w:tcPr>
          <w:p w14:paraId="0AFD7259" w14:textId="77777777" w:rsidR="009D01C9" w:rsidRPr="00D82997" w:rsidRDefault="009D01C9" w:rsidP="00090441">
            <w:pPr>
              <w:rPr>
                <w:rFonts w:ascii="Arial" w:hAnsi="Arial" w:cs="Arial"/>
                <w:sz w:val="20"/>
                <w:szCs w:val="20"/>
              </w:rPr>
            </w:pPr>
          </w:p>
        </w:tc>
        <w:tc>
          <w:tcPr>
            <w:tcW w:w="1350" w:type="dxa"/>
            <w:shd w:val="clear" w:color="auto" w:fill="F2F2F2"/>
          </w:tcPr>
          <w:p w14:paraId="38187828" w14:textId="77777777" w:rsidR="009D01C9" w:rsidRPr="00D82997" w:rsidRDefault="009D01C9" w:rsidP="00090441">
            <w:pPr>
              <w:rPr>
                <w:rFonts w:ascii="Arial" w:hAnsi="Arial" w:cs="Arial"/>
                <w:sz w:val="20"/>
                <w:szCs w:val="20"/>
              </w:rPr>
            </w:pPr>
          </w:p>
        </w:tc>
        <w:tc>
          <w:tcPr>
            <w:tcW w:w="1440" w:type="dxa"/>
            <w:shd w:val="clear" w:color="auto" w:fill="F2F2F2"/>
          </w:tcPr>
          <w:p w14:paraId="1DC6565F" w14:textId="77777777" w:rsidR="009D01C9" w:rsidRPr="00D82997" w:rsidRDefault="009D01C9" w:rsidP="00090441">
            <w:pPr>
              <w:rPr>
                <w:rFonts w:ascii="Arial" w:hAnsi="Arial" w:cs="Arial"/>
                <w:sz w:val="20"/>
                <w:szCs w:val="20"/>
              </w:rPr>
            </w:pPr>
          </w:p>
        </w:tc>
        <w:tc>
          <w:tcPr>
            <w:tcW w:w="1440" w:type="dxa"/>
            <w:shd w:val="clear" w:color="auto" w:fill="F2F2F2"/>
          </w:tcPr>
          <w:p w14:paraId="360006B9" w14:textId="77777777" w:rsidR="009D01C9" w:rsidRPr="00D82997" w:rsidRDefault="009D01C9" w:rsidP="00090441">
            <w:pPr>
              <w:rPr>
                <w:rFonts w:ascii="Arial" w:hAnsi="Arial" w:cs="Arial"/>
                <w:sz w:val="20"/>
                <w:szCs w:val="20"/>
              </w:rPr>
            </w:pPr>
          </w:p>
        </w:tc>
      </w:tr>
      <w:tr w:rsidR="009D01C9" w:rsidRPr="00DB67E5" w14:paraId="3371A216" w14:textId="3A0EC325" w:rsidTr="009D01C9">
        <w:tc>
          <w:tcPr>
            <w:tcW w:w="3312" w:type="dxa"/>
          </w:tcPr>
          <w:p w14:paraId="70086267" w14:textId="2F23426B" w:rsidR="009D01C9" w:rsidRPr="00D82997" w:rsidRDefault="009D01C9" w:rsidP="009478E1">
            <w:pPr>
              <w:rPr>
                <w:rFonts w:ascii="Arial" w:hAnsi="Arial" w:cs="Arial"/>
                <w:sz w:val="20"/>
                <w:szCs w:val="20"/>
              </w:rPr>
            </w:pPr>
            <w:r w:rsidRPr="00D82997">
              <w:rPr>
                <w:rFonts w:ascii="Arial" w:hAnsi="Arial" w:cs="Arial"/>
                <w:sz w:val="20"/>
                <w:szCs w:val="20"/>
              </w:rPr>
              <w:t>Lifetime alcohol use</w:t>
            </w:r>
          </w:p>
        </w:tc>
        <w:tc>
          <w:tcPr>
            <w:tcW w:w="1075" w:type="dxa"/>
            <w:vAlign w:val="center"/>
          </w:tcPr>
          <w:p w14:paraId="0CB3EF19" w14:textId="77777777" w:rsidR="009D01C9" w:rsidRPr="003909E9" w:rsidRDefault="009D01C9" w:rsidP="009478E1">
            <w:pPr>
              <w:jc w:val="center"/>
              <w:rPr>
                <w:rFonts w:ascii="Arial" w:hAnsi="Arial" w:cs="Arial"/>
                <w:sz w:val="20"/>
                <w:szCs w:val="20"/>
              </w:rPr>
            </w:pPr>
            <w:r>
              <w:rPr>
                <w:rFonts w:ascii="Arial" w:hAnsi="Arial" w:cs="Arial"/>
                <w:sz w:val="20"/>
                <w:szCs w:val="20"/>
              </w:rPr>
              <w:t>16.6</w:t>
            </w:r>
          </w:p>
        </w:tc>
        <w:tc>
          <w:tcPr>
            <w:tcW w:w="1350" w:type="dxa"/>
            <w:shd w:val="clear" w:color="auto" w:fill="82F68A"/>
            <w:vAlign w:val="center"/>
          </w:tcPr>
          <w:p w14:paraId="6DE8584A" w14:textId="77777777" w:rsidR="009D01C9" w:rsidRPr="009B0E70" w:rsidRDefault="009D01C9" w:rsidP="009478E1">
            <w:pPr>
              <w:jc w:val="center"/>
              <w:rPr>
                <w:rFonts w:ascii="Arial" w:hAnsi="Arial" w:cs="Arial"/>
                <w:sz w:val="20"/>
                <w:szCs w:val="20"/>
              </w:rPr>
            </w:pPr>
            <w:r w:rsidRPr="009B0E70">
              <w:rPr>
                <w:rFonts w:ascii="Arial" w:hAnsi="Arial" w:cs="Arial"/>
                <w:sz w:val="20"/>
                <w:szCs w:val="20"/>
              </w:rPr>
              <w:t>-10.1</w:t>
            </w:r>
          </w:p>
        </w:tc>
        <w:tc>
          <w:tcPr>
            <w:tcW w:w="1350" w:type="dxa"/>
            <w:vAlign w:val="center"/>
          </w:tcPr>
          <w:p w14:paraId="058FF04B" w14:textId="77777777" w:rsidR="009D01C9" w:rsidRPr="00D82997" w:rsidRDefault="009D01C9" w:rsidP="009478E1">
            <w:pPr>
              <w:jc w:val="center"/>
              <w:rPr>
                <w:rFonts w:ascii="Arial" w:hAnsi="Arial" w:cs="Arial"/>
                <w:sz w:val="20"/>
                <w:szCs w:val="20"/>
              </w:rPr>
            </w:pPr>
            <w:r w:rsidRPr="00D82997">
              <w:rPr>
                <w:rFonts w:ascii="Arial" w:hAnsi="Arial" w:cs="Arial"/>
                <w:sz w:val="20"/>
                <w:szCs w:val="20"/>
              </w:rPr>
              <w:t>-7.5</w:t>
            </w:r>
          </w:p>
        </w:tc>
        <w:tc>
          <w:tcPr>
            <w:tcW w:w="1440" w:type="dxa"/>
            <w:vAlign w:val="center"/>
          </w:tcPr>
          <w:p w14:paraId="7E0225D0" w14:textId="77777777" w:rsidR="009D01C9" w:rsidRPr="00D82997" w:rsidRDefault="009D01C9" w:rsidP="009478E1">
            <w:pPr>
              <w:jc w:val="center"/>
              <w:rPr>
                <w:rFonts w:ascii="Arial" w:hAnsi="Arial" w:cs="Arial"/>
                <w:b/>
                <w:bCs/>
                <w:sz w:val="20"/>
                <w:szCs w:val="20"/>
              </w:rPr>
            </w:pPr>
            <w:r w:rsidRPr="00D82997">
              <w:rPr>
                <w:rFonts w:ascii="Arial" w:hAnsi="Arial" w:cs="Arial"/>
                <w:b/>
                <w:bCs/>
                <w:color w:val="00B050"/>
                <w:sz w:val="20"/>
                <w:szCs w:val="20"/>
              </w:rPr>
              <w:sym w:font="Wingdings" w:char="F0FC"/>
            </w:r>
          </w:p>
        </w:tc>
        <w:tc>
          <w:tcPr>
            <w:tcW w:w="1440" w:type="dxa"/>
            <w:vAlign w:val="center"/>
          </w:tcPr>
          <w:p w14:paraId="63613769" w14:textId="387207D6" w:rsidR="009D01C9" w:rsidRPr="009D01C9" w:rsidRDefault="009D01C9" w:rsidP="009D01C9">
            <w:pPr>
              <w:jc w:val="center"/>
              <w:rPr>
                <w:rFonts w:ascii="Arial" w:hAnsi="Arial" w:cs="Arial"/>
                <w:bCs/>
                <w:color w:val="000000" w:themeColor="text1"/>
                <w:sz w:val="20"/>
                <w:szCs w:val="20"/>
              </w:rPr>
            </w:pPr>
            <w:r w:rsidRPr="009D01C9">
              <w:rPr>
                <w:rFonts w:ascii="Arial" w:hAnsi="Arial" w:cs="Arial"/>
                <w:bCs/>
                <w:color w:val="000000" w:themeColor="text1"/>
                <w:sz w:val="20"/>
                <w:szCs w:val="20"/>
              </w:rPr>
              <w:t>4</w:t>
            </w:r>
          </w:p>
        </w:tc>
      </w:tr>
      <w:tr w:rsidR="009D01C9" w:rsidRPr="00DB67E5" w14:paraId="44F2D20E" w14:textId="2397903D" w:rsidTr="009D01C9">
        <w:tc>
          <w:tcPr>
            <w:tcW w:w="3312" w:type="dxa"/>
          </w:tcPr>
          <w:p w14:paraId="2963F3D8" w14:textId="20D89044" w:rsidR="009D01C9" w:rsidRPr="00D82997" w:rsidRDefault="009D01C9" w:rsidP="009478E1">
            <w:pPr>
              <w:rPr>
                <w:rFonts w:ascii="Arial" w:hAnsi="Arial" w:cs="Arial"/>
                <w:sz w:val="20"/>
                <w:szCs w:val="20"/>
              </w:rPr>
            </w:pPr>
            <w:r w:rsidRPr="00D82997">
              <w:rPr>
                <w:rFonts w:ascii="Arial" w:hAnsi="Arial" w:cs="Arial"/>
                <w:sz w:val="20"/>
                <w:szCs w:val="20"/>
              </w:rPr>
              <w:t>Current alcohol use</w:t>
            </w:r>
          </w:p>
        </w:tc>
        <w:tc>
          <w:tcPr>
            <w:tcW w:w="1075" w:type="dxa"/>
            <w:vAlign w:val="center"/>
          </w:tcPr>
          <w:p w14:paraId="7A8E74BD" w14:textId="77777777" w:rsidR="009D01C9" w:rsidRPr="003909E9" w:rsidRDefault="009D01C9" w:rsidP="009478E1">
            <w:pPr>
              <w:jc w:val="center"/>
              <w:rPr>
                <w:rFonts w:ascii="Arial" w:hAnsi="Arial" w:cs="Arial"/>
                <w:sz w:val="20"/>
                <w:szCs w:val="20"/>
              </w:rPr>
            </w:pPr>
            <w:r w:rsidRPr="003909E9">
              <w:rPr>
                <w:rFonts w:ascii="Arial" w:hAnsi="Arial" w:cs="Arial"/>
                <w:sz w:val="20"/>
                <w:szCs w:val="20"/>
              </w:rPr>
              <w:t>6.2</w:t>
            </w:r>
          </w:p>
        </w:tc>
        <w:tc>
          <w:tcPr>
            <w:tcW w:w="1350" w:type="dxa"/>
            <w:shd w:val="clear" w:color="auto" w:fill="82F68A"/>
            <w:vAlign w:val="center"/>
          </w:tcPr>
          <w:p w14:paraId="46217D9B" w14:textId="77777777" w:rsidR="009D01C9" w:rsidRPr="009B0E70" w:rsidRDefault="009D01C9" w:rsidP="009478E1">
            <w:pPr>
              <w:jc w:val="center"/>
              <w:rPr>
                <w:rFonts w:ascii="Arial" w:hAnsi="Arial" w:cs="Arial"/>
                <w:sz w:val="20"/>
                <w:szCs w:val="20"/>
              </w:rPr>
            </w:pPr>
            <w:r w:rsidRPr="009B0E70">
              <w:rPr>
                <w:rFonts w:ascii="Arial" w:hAnsi="Arial" w:cs="Arial"/>
                <w:sz w:val="20"/>
                <w:szCs w:val="20"/>
              </w:rPr>
              <w:t>-18.2</w:t>
            </w:r>
          </w:p>
        </w:tc>
        <w:tc>
          <w:tcPr>
            <w:tcW w:w="1350" w:type="dxa"/>
            <w:vAlign w:val="center"/>
          </w:tcPr>
          <w:p w14:paraId="0DDC8265" w14:textId="77777777" w:rsidR="009D01C9" w:rsidRPr="00D82997" w:rsidRDefault="009D01C9" w:rsidP="009478E1">
            <w:pPr>
              <w:jc w:val="center"/>
              <w:rPr>
                <w:rFonts w:ascii="Arial" w:hAnsi="Arial" w:cs="Arial"/>
                <w:sz w:val="20"/>
                <w:szCs w:val="20"/>
              </w:rPr>
            </w:pPr>
            <w:r w:rsidRPr="00D82997">
              <w:rPr>
                <w:rFonts w:ascii="Arial" w:hAnsi="Arial" w:cs="Arial"/>
                <w:sz w:val="20"/>
                <w:szCs w:val="20"/>
              </w:rPr>
              <w:t>7.1</w:t>
            </w:r>
          </w:p>
        </w:tc>
        <w:tc>
          <w:tcPr>
            <w:tcW w:w="1440" w:type="dxa"/>
            <w:vAlign w:val="center"/>
          </w:tcPr>
          <w:p w14:paraId="5F83236C" w14:textId="77777777" w:rsidR="009D01C9" w:rsidRPr="00D82997" w:rsidRDefault="009D01C9" w:rsidP="009478E1">
            <w:pPr>
              <w:jc w:val="center"/>
              <w:rPr>
                <w:rFonts w:ascii="Arial" w:hAnsi="Arial" w:cs="Arial"/>
                <w:sz w:val="20"/>
                <w:szCs w:val="20"/>
              </w:rPr>
            </w:pPr>
            <w:r>
              <w:rPr>
                <w:rFonts w:ascii="Arial" w:hAnsi="Arial" w:cs="Arial"/>
                <w:b/>
                <w:bCs/>
                <w:color w:val="00B050"/>
                <w:sz w:val="20"/>
                <w:szCs w:val="20"/>
              </w:rPr>
              <w:t xml:space="preserve"> </w:t>
            </w:r>
            <w:r w:rsidRPr="00D82997">
              <w:rPr>
                <w:rFonts w:ascii="Arial" w:hAnsi="Arial" w:cs="Arial"/>
                <w:b/>
                <w:bCs/>
                <w:color w:val="00B050"/>
                <w:sz w:val="20"/>
                <w:szCs w:val="20"/>
              </w:rPr>
              <w:sym w:font="Wingdings" w:char="F0FC"/>
            </w:r>
            <w:r w:rsidRPr="00090441">
              <w:rPr>
                <w:rFonts w:ascii="Arial" w:hAnsi="Arial" w:cs="Arial"/>
                <w:b/>
                <w:bCs/>
                <w:sz w:val="20"/>
                <w:szCs w:val="20"/>
              </w:rPr>
              <w:t>*</w:t>
            </w:r>
          </w:p>
        </w:tc>
        <w:tc>
          <w:tcPr>
            <w:tcW w:w="1440" w:type="dxa"/>
            <w:vAlign w:val="center"/>
          </w:tcPr>
          <w:p w14:paraId="08852684" w14:textId="09A3734A" w:rsidR="009D01C9" w:rsidRPr="009D01C9" w:rsidRDefault="009D01C9" w:rsidP="009D01C9">
            <w:pPr>
              <w:jc w:val="center"/>
              <w:rPr>
                <w:rFonts w:ascii="Arial" w:hAnsi="Arial" w:cs="Arial"/>
                <w:bCs/>
                <w:color w:val="000000" w:themeColor="text1"/>
                <w:sz w:val="20"/>
                <w:szCs w:val="20"/>
              </w:rPr>
            </w:pPr>
            <w:r w:rsidRPr="009D01C9">
              <w:rPr>
                <w:rFonts w:ascii="Arial" w:hAnsi="Arial" w:cs="Arial"/>
                <w:bCs/>
                <w:color w:val="000000" w:themeColor="text1"/>
                <w:sz w:val="20"/>
                <w:szCs w:val="20"/>
              </w:rPr>
              <w:t>6</w:t>
            </w:r>
          </w:p>
        </w:tc>
      </w:tr>
      <w:tr w:rsidR="009D01C9" w:rsidRPr="00DB67E5" w14:paraId="74EA5F2B" w14:textId="77234BD3" w:rsidTr="009D01C9">
        <w:tc>
          <w:tcPr>
            <w:tcW w:w="3312" w:type="dxa"/>
          </w:tcPr>
          <w:p w14:paraId="32714B8A" w14:textId="5359387A" w:rsidR="009D01C9" w:rsidRPr="00D82997" w:rsidRDefault="009D01C9" w:rsidP="009478E1">
            <w:pPr>
              <w:rPr>
                <w:rFonts w:ascii="Arial" w:hAnsi="Arial" w:cs="Arial"/>
                <w:sz w:val="20"/>
                <w:szCs w:val="20"/>
              </w:rPr>
            </w:pPr>
            <w:r w:rsidRPr="00D82997">
              <w:rPr>
                <w:rFonts w:ascii="Arial" w:hAnsi="Arial" w:cs="Arial"/>
                <w:sz w:val="20"/>
                <w:szCs w:val="20"/>
              </w:rPr>
              <w:t>Current binge drinking</w:t>
            </w:r>
          </w:p>
        </w:tc>
        <w:tc>
          <w:tcPr>
            <w:tcW w:w="1075" w:type="dxa"/>
            <w:vAlign w:val="center"/>
          </w:tcPr>
          <w:p w14:paraId="3F6BA88D" w14:textId="77777777" w:rsidR="009D01C9" w:rsidRPr="003909E9" w:rsidRDefault="009D01C9" w:rsidP="009478E1">
            <w:pPr>
              <w:jc w:val="center"/>
              <w:rPr>
                <w:rFonts w:ascii="Arial" w:hAnsi="Arial" w:cs="Arial"/>
                <w:sz w:val="20"/>
                <w:szCs w:val="20"/>
              </w:rPr>
            </w:pPr>
            <w:r>
              <w:rPr>
                <w:rFonts w:ascii="Arial" w:hAnsi="Arial" w:cs="Arial"/>
                <w:sz w:val="20"/>
                <w:szCs w:val="20"/>
              </w:rPr>
              <w:t>2.1</w:t>
            </w:r>
          </w:p>
        </w:tc>
        <w:tc>
          <w:tcPr>
            <w:tcW w:w="1350" w:type="dxa"/>
            <w:shd w:val="clear" w:color="auto" w:fill="82F68A"/>
            <w:vAlign w:val="center"/>
          </w:tcPr>
          <w:p w14:paraId="202E04A3" w14:textId="77777777" w:rsidR="009D01C9" w:rsidRPr="009B0E70" w:rsidRDefault="009D01C9" w:rsidP="009478E1">
            <w:pPr>
              <w:jc w:val="center"/>
              <w:rPr>
                <w:rFonts w:ascii="Arial" w:hAnsi="Arial" w:cs="Arial"/>
                <w:sz w:val="20"/>
                <w:szCs w:val="20"/>
              </w:rPr>
            </w:pPr>
            <w:r w:rsidRPr="009B0E70">
              <w:rPr>
                <w:rFonts w:ascii="Arial" w:hAnsi="Arial" w:cs="Arial"/>
                <w:sz w:val="20"/>
                <w:szCs w:val="20"/>
              </w:rPr>
              <w:t>-23.0</w:t>
            </w:r>
          </w:p>
        </w:tc>
        <w:tc>
          <w:tcPr>
            <w:tcW w:w="1350" w:type="dxa"/>
            <w:vAlign w:val="center"/>
          </w:tcPr>
          <w:p w14:paraId="2074ABC5" w14:textId="77777777" w:rsidR="009D01C9" w:rsidRPr="00D82997" w:rsidRDefault="009D01C9" w:rsidP="009478E1">
            <w:pPr>
              <w:jc w:val="center"/>
              <w:rPr>
                <w:rFonts w:ascii="Arial" w:hAnsi="Arial" w:cs="Arial"/>
                <w:sz w:val="20"/>
                <w:szCs w:val="20"/>
              </w:rPr>
            </w:pPr>
            <w:r w:rsidRPr="00D82997">
              <w:rPr>
                <w:rFonts w:ascii="Arial" w:hAnsi="Arial" w:cs="Arial"/>
                <w:sz w:val="20"/>
                <w:szCs w:val="20"/>
              </w:rPr>
              <w:t>-5.9</w:t>
            </w:r>
          </w:p>
        </w:tc>
        <w:tc>
          <w:tcPr>
            <w:tcW w:w="1440" w:type="dxa"/>
            <w:vAlign w:val="center"/>
          </w:tcPr>
          <w:p w14:paraId="36EE7424" w14:textId="77777777" w:rsidR="009D01C9" w:rsidRPr="00D82997" w:rsidRDefault="009D01C9" w:rsidP="009478E1">
            <w:pPr>
              <w:jc w:val="center"/>
              <w:rPr>
                <w:rFonts w:ascii="Arial" w:hAnsi="Arial" w:cs="Arial"/>
                <w:sz w:val="20"/>
                <w:szCs w:val="20"/>
              </w:rPr>
            </w:pPr>
            <w:r w:rsidRPr="00D82997">
              <w:rPr>
                <w:rFonts w:ascii="Arial" w:hAnsi="Arial" w:cs="Arial"/>
                <w:b/>
                <w:bCs/>
                <w:color w:val="00B050"/>
                <w:sz w:val="20"/>
                <w:szCs w:val="20"/>
              </w:rPr>
              <w:sym w:font="Wingdings" w:char="F0FC"/>
            </w:r>
          </w:p>
        </w:tc>
        <w:tc>
          <w:tcPr>
            <w:tcW w:w="1440" w:type="dxa"/>
            <w:vAlign w:val="center"/>
          </w:tcPr>
          <w:p w14:paraId="2020CE7F" w14:textId="5E8AA07E" w:rsidR="009D01C9" w:rsidRPr="009D01C9" w:rsidRDefault="009D01C9" w:rsidP="009D01C9">
            <w:pPr>
              <w:jc w:val="center"/>
              <w:rPr>
                <w:rFonts w:ascii="Arial" w:hAnsi="Arial" w:cs="Arial"/>
                <w:bCs/>
                <w:color w:val="000000" w:themeColor="text1"/>
                <w:sz w:val="20"/>
                <w:szCs w:val="20"/>
              </w:rPr>
            </w:pPr>
            <w:r w:rsidRPr="009D01C9">
              <w:rPr>
                <w:rFonts w:ascii="Arial" w:hAnsi="Arial" w:cs="Arial"/>
                <w:bCs/>
                <w:color w:val="000000" w:themeColor="text1"/>
                <w:sz w:val="20"/>
                <w:szCs w:val="20"/>
              </w:rPr>
              <w:t>4</w:t>
            </w:r>
          </w:p>
        </w:tc>
      </w:tr>
      <w:tr w:rsidR="009D01C9" w:rsidRPr="00DB67E5" w14:paraId="251F1979" w14:textId="259EA6E5" w:rsidTr="009D01C9">
        <w:tc>
          <w:tcPr>
            <w:tcW w:w="3312" w:type="dxa"/>
          </w:tcPr>
          <w:p w14:paraId="5E51E982" w14:textId="533C8222" w:rsidR="009D01C9" w:rsidRPr="00D82997" w:rsidRDefault="009D01C9" w:rsidP="009478E1">
            <w:pPr>
              <w:rPr>
                <w:rFonts w:ascii="Arial" w:hAnsi="Arial" w:cs="Arial"/>
                <w:sz w:val="20"/>
                <w:szCs w:val="20"/>
              </w:rPr>
            </w:pPr>
            <w:r w:rsidRPr="00D82997">
              <w:rPr>
                <w:rFonts w:ascii="Arial" w:hAnsi="Arial" w:cs="Arial"/>
                <w:sz w:val="20"/>
                <w:szCs w:val="20"/>
              </w:rPr>
              <w:t>Lifetime Rx drug misuse</w:t>
            </w:r>
          </w:p>
        </w:tc>
        <w:tc>
          <w:tcPr>
            <w:tcW w:w="1075" w:type="dxa"/>
            <w:vAlign w:val="center"/>
          </w:tcPr>
          <w:p w14:paraId="077807DB" w14:textId="77777777" w:rsidR="009D01C9" w:rsidRPr="003909E9" w:rsidRDefault="009D01C9" w:rsidP="009478E1">
            <w:pPr>
              <w:jc w:val="center"/>
              <w:rPr>
                <w:rFonts w:ascii="Arial" w:hAnsi="Arial" w:cs="Arial"/>
                <w:sz w:val="20"/>
                <w:szCs w:val="20"/>
              </w:rPr>
            </w:pPr>
            <w:r>
              <w:rPr>
                <w:rFonts w:ascii="Arial" w:hAnsi="Arial" w:cs="Arial"/>
                <w:sz w:val="20"/>
                <w:szCs w:val="20"/>
              </w:rPr>
              <w:t>2.7</w:t>
            </w:r>
          </w:p>
        </w:tc>
        <w:tc>
          <w:tcPr>
            <w:tcW w:w="1350" w:type="dxa"/>
            <w:vAlign w:val="center"/>
          </w:tcPr>
          <w:p w14:paraId="22D2180E" w14:textId="77777777" w:rsidR="009D01C9" w:rsidRPr="009B0E70" w:rsidRDefault="009D01C9" w:rsidP="009478E1">
            <w:pPr>
              <w:jc w:val="center"/>
              <w:rPr>
                <w:rFonts w:ascii="Arial" w:hAnsi="Arial" w:cs="Arial"/>
                <w:sz w:val="20"/>
                <w:szCs w:val="20"/>
              </w:rPr>
            </w:pPr>
            <w:r w:rsidRPr="009B0E70">
              <w:rPr>
                <w:rFonts w:ascii="Arial" w:hAnsi="Arial" w:cs="Arial"/>
                <w:sz w:val="20"/>
                <w:szCs w:val="20"/>
              </w:rPr>
              <w:t>11.50</w:t>
            </w:r>
          </w:p>
        </w:tc>
        <w:tc>
          <w:tcPr>
            <w:tcW w:w="1350" w:type="dxa"/>
            <w:vAlign w:val="center"/>
          </w:tcPr>
          <w:p w14:paraId="70F18D1A" w14:textId="77777777" w:rsidR="009D01C9" w:rsidRPr="00D82997" w:rsidRDefault="009D01C9" w:rsidP="009478E1">
            <w:pPr>
              <w:jc w:val="center"/>
              <w:rPr>
                <w:rFonts w:ascii="Arial" w:hAnsi="Arial" w:cs="Arial"/>
                <w:sz w:val="20"/>
                <w:szCs w:val="20"/>
              </w:rPr>
            </w:pPr>
            <w:r w:rsidRPr="00D82997">
              <w:rPr>
                <w:rFonts w:ascii="Arial" w:hAnsi="Arial" w:cs="Arial"/>
                <w:sz w:val="20"/>
                <w:szCs w:val="20"/>
              </w:rPr>
              <w:t>13.7</w:t>
            </w:r>
          </w:p>
        </w:tc>
        <w:tc>
          <w:tcPr>
            <w:tcW w:w="1440" w:type="dxa"/>
            <w:vAlign w:val="center"/>
          </w:tcPr>
          <w:p w14:paraId="7DBF0B3D" w14:textId="77777777" w:rsidR="009D01C9" w:rsidRPr="00D82997" w:rsidRDefault="009D01C9" w:rsidP="009478E1">
            <w:pPr>
              <w:jc w:val="center"/>
              <w:rPr>
                <w:rFonts w:ascii="Arial" w:hAnsi="Arial" w:cs="Arial"/>
                <w:sz w:val="20"/>
                <w:szCs w:val="20"/>
              </w:rPr>
            </w:pPr>
            <w:r w:rsidRPr="00D82997">
              <w:rPr>
                <w:rFonts w:ascii="Arial" w:hAnsi="Arial" w:cs="Arial"/>
                <w:b/>
                <w:bCs/>
                <w:color w:val="00B050"/>
                <w:sz w:val="20"/>
                <w:szCs w:val="20"/>
              </w:rPr>
              <w:sym w:font="Wingdings" w:char="F0FC"/>
            </w:r>
          </w:p>
        </w:tc>
        <w:tc>
          <w:tcPr>
            <w:tcW w:w="1440" w:type="dxa"/>
            <w:vAlign w:val="center"/>
          </w:tcPr>
          <w:p w14:paraId="527560FA" w14:textId="073BEDF9" w:rsidR="009D01C9" w:rsidRPr="009D01C9" w:rsidRDefault="009D01C9" w:rsidP="009D01C9">
            <w:pPr>
              <w:jc w:val="center"/>
              <w:rPr>
                <w:rFonts w:ascii="Arial" w:hAnsi="Arial" w:cs="Arial"/>
                <w:bCs/>
                <w:color w:val="000000" w:themeColor="text1"/>
                <w:sz w:val="20"/>
                <w:szCs w:val="20"/>
              </w:rPr>
            </w:pPr>
            <w:r w:rsidRPr="009D01C9">
              <w:rPr>
                <w:rFonts w:ascii="Arial" w:hAnsi="Arial" w:cs="Arial"/>
                <w:bCs/>
                <w:color w:val="000000" w:themeColor="text1"/>
                <w:sz w:val="20"/>
                <w:szCs w:val="20"/>
              </w:rPr>
              <w:t>4</w:t>
            </w:r>
          </w:p>
        </w:tc>
      </w:tr>
      <w:tr w:rsidR="009D01C9" w:rsidRPr="00DB67E5" w14:paraId="659D3AD8" w14:textId="7C164317" w:rsidTr="009D01C9">
        <w:tc>
          <w:tcPr>
            <w:tcW w:w="3312" w:type="dxa"/>
            <w:shd w:val="clear" w:color="auto" w:fill="F2F2F2"/>
          </w:tcPr>
          <w:p w14:paraId="3521099B" w14:textId="77777777" w:rsidR="009D01C9" w:rsidRPr="00D82997" w:rsidRDefault="009D01C9" w:rsidP="009478E1">
            <w:pPr>
              <w:rPr>
                <w:rFonts w:ascii="Arial" w:hAnsi="Arial" w:cs="Arial"/>
                <w:sz w:val="20"/>
                <w:szCs w:val="20"/>
              </w:rPr>
            </w:pPr>
            <w:r w:rsidRPr="00D82997">
              <w:rPr>
                <w:rFonts w:ascii="Arial" w:hAnsi="Arial" w:cs="Arial"/>
                <w:sz w:val="20"/>
                <w:szCs w:val="20"/>
              </w:rPr>
              <w:t>Risk Factors</w:t>
            </w:r>
          </w:p>
        </w:tc>
        <w:tc>
          <w:tcPr>
            <w:tcW w:w="1075" w:type="dxa"/>
            <w:shd w:val="clear" w:color="auto" w:fill="F2F2F2"/>
            <w:vAlign w:val="center"/>
          </w:tcPr>
          <w:p w14:paraId="4F7A4032" w14:textId="77777777" w:rsidR="009D01C9" w:rsidRPr="003909E9" w:rsidRDefault="009D01C9" w:rsidP="009478E1">
            <w:pPr>
              <w:jc w:val="center"/>
              <w:rPr>
                <w:rFonts w:ascii="Arial" w:hAnsi="Arial" w:cs="Arial"/>
                <w:sz w:val="20"/>
                <w:szCs w:val="20"/>
              </w:rPr>
            </w:pPr>
          </w:p>
        </w:tc>
        <w:tc>
          <w:tcPr>
            <w:tcW w:w="1350" w:type="dxa"/>
            <w:tcBorders>
              <w:bottom w:val="single" w:sz="4" w:space="0" w:color="auto"/>
            </w:tcBorders>
            <w:shd w:val="clear" w:color="auto" w:fill="F2F2F2"/>
            <w:vAlign w:val="center"/>
          </w:tcPr>
          <w:p w14:paraId="1FFDA38B" w14:textId="77777777" w:rsidR="009D01C9" w:rsidRPr="009B0E70" w:rsidRDefault="009D01C9" w:rsidP="009478E1">
            <w:pPr>
              <w:jc w:val="center"/>
              <w:rPr>
                <w:rFonts w:ascii="Arial" w:hAnsi="Arial" w:cs="Arial"/>
                <w:sz w:val="20"/>
                <w:szCs w:val="20"/>
              </w:rPr>
            </w:pPr>
          </w:p>
        </w:tc>
        <w:tc>
          <w:tcPr>
            <w:tcW w:w="1350" w:type="dxa"/>
            <w:shd w:val="clear" w:color="auto" w:fill="F2F2F2"/>
            <w:vAlign w:val="center"/>
          </w:tcPr>
          <w:p w14:paraId="6077DC1E" w14:textId="77777777" w:rsidR="009D01C9" w:rsidRPr="00D82997" w:rsidRDefault="009D01C9" w:rsidP="009478E1">
            <w:pPr>
              <w:jc w:val="center"/>
              <w:rPr>
                <w:rFonts w:ascii="Arial" w:hAnsi="Arial" w:cs="Arial"/>
                <w:sz w:val="20"/>
                <w:szCs w:val="20"/>
              </w:rPr>
            </w:pPr>
          </w:p>
        </w:tc>
        <w:tc>
          <w:tcPr>
            <w:tcW w:w="1440" w:type="dxa"/>
            <w:shd w:val="clear" w:color="auto" w:fill="F2F2F2"/>
            <w:vAlign w:val="center"/>
          </w:tcPr>
          <w:p w14:paraId="714455D2" w14:textId="77777777" w:rsidR="009D01C9" w:rsidRPr="00D82997" w:rsidRDefault="009D01C9" w:rsidP="009478E1">
            <w:pPr>
              <w:jc w:val="center"/>
              <w:rPr>
                <w:rFonts w:ascii="Arial" w:hAnsi="Arial" w:cs="Arial"/>
                <w:sz w:val="20"/>
                <w:szCs w:val="20"/>
              </w:rPr>
            </w:pPr>
          </w:p>
        </w:tc>
        <w:tc>
          <w:tcPr>
            <w:tcW w:w="1440" w:type="dxa"/>
            <w:shd w:val="clear" w:color="auto" w:fill="F2F2F2"/>
            <w:vAlign w:val="center"/>
          </w:tcPr>
          <w:p w14:paraId="7D18B540" w14:textId="3D815093" w:rsidR="009D01C9" w:rsidRPr="009D01C9" w:rsidRDefault="009D01C9" w:rsidP="009D01C9">
            <w:pPr>
              <w:jc w:val="center"/>
              <w:rPr>
                <w:rFonts w:ascii="Arial" w:hAnsi="Arial" w:cs="Arial"/>
                <w:color w:val="000000" w:themeColor="text1"/>
                <w:sz w:val="20"/>
                <w:szCs w:val="20"/>
              </w:rPr>
            </w:pPr>
          </w:p>
        </w:tc>
      </w:tr>
      <w:tr w:rsidR="009D01C9" w:rsidRPr="00DB67E5" w14:paraId="4402C331" w14:textId="37EE47AB" w:rsidTr="009D01C9">
        <w:tc>
          <w:tcPr>
            <w:tcW w:w="3312" w:type="dxa"/>
          </w:tcPr>
          <w:p w14:paraId="5BE75D7D" w14:textId="2489BDA1" w:rsidR="009D01C9" w:rsidRPr="00D82997" w:rsidRDefault="009D01C9" w:rsidP="00221059">
            <w:pPr>
              <w:rPr>
                <w:rFonts w:ascii="Arial" w:hAnsi="Arial" w:cs="Arial"/>
                <w:color w:val="000000"/>
                <w:sz w:val="20"/>
                <w:szCs w:val="20"/>
              </w:rPr>
            </w:pPr>
            <w:r w:rsidRPr="00D82997">
              <w:rPr>
                <w:rFonts w:ascii="Arial" w:hAnsi="Arial" w:cs="Arial"/>
                <w:color w:val="000000"/>
                <w:sz w:val="20"/>
                <w:szCs w:val="20"/>
              </w:rPr>
              <w:t>Obtaining alcohol perceived to be sort of easy or very easy</w:t>
            </w:r>
          </w:p>
        </w:tc>
        <w:tc>
          <w:tcPr>
            <w:tcW w:w="1075" w:type="dxa"/>
            <w:vAlign w:val="center"/>
          </w:tcPr>
          <w:p w14:paraId="55FA6943" w14:textId="77777777" w:rsidR="009D01C9" w:rsidRPr="003909E9" w:rsidRDefault="009D01C9" w:rsidP="009478E1">
            <w:pPr>
              <w:ind w:left="216" w:hanging="216"/>
              <w:jc w:val="center"/>
              <w:rPr>
                <w:rFonts w:ascii="Arial" w:hAnsi="Arial" w:cs="Arial"/>
                <w:color w:val="000000"/>
                <w:sz w:val="20"/>
                <w:szCs w:val="20"/>
              </w:rPr>
            </w:pPr>
            <w:r>
              <w:rPr>
                <w:rFonts w:ascii="Arial" w:hAnsi="Arial" w:cs="Arial"/>
                <w:color w:val="000000"/>
                <w:sz w:val="20"/>
                <w:szCs w:val="20"/>
              </w:rPr>
              <w:t>39.0</w:t>
            </w:r>
          </w:p>
        </w:tc>
        <w:tc>
          <w:tcPr>
            <w:tcW w:w="1350" w:type="dxa"/>
            <w:shd w:val="clear" w:color="auto" w:fill="82F68A"/>
            <w:vAlign w:val="center"/>
          </w:tcPr>
          <w:p w14:paraId="02A51BEA" w14:textId="77777777" w:rsidR="009D01C9" w:rsidRPr="009B0E70" w:rsidRDefault="009D01C9" w:rsidP="009478E1">
            <w:pPr>
              <w:tabs>
                <w:tab w:val="decimal" w:pos="517"/>
              </w:tabs>
              <w:rPr>
                <w:rFonts w:ascii="Arial" w:hAnsi="Arial" w:cs="Arial"/>
                <w:color w:val="000000"/>
                <w:sz w:val="20"/>
                <w:szCs w:val="20"/>
              </w:rPr>
            </w:pPr>
            <w:r w:rsidRPr="009B0E70">
              <w:rPr>
                <w:rFonts w:ascii="Arial" w:hAnsi="Arial" w:cs="Arial"/>
                <w:color w:val="000000"/>
                <w:sz w:val="20"/>
                <w:szCs w:val="20"/>
              </w:rPr>
              <w:t>-6.5</w:t>
            </w:r>
          </w:p>
        </w:tc>
        <w:tc>
          <w:tcPr>
            <w:tcW w:w="1350" w:type="dxa"/>
            <w:vAlign w:val="center"/>
          </w:tcPr>
          <w:p w14:paraId="132C9B0E" w14:textId="77777777" w:rsidR="009D01C9" w:rsidRPr="00D82997" w:rsidRDefault="009D01C9" w:rsidP="009478E1">
            <w:pPr>
              <w:tabs>
                <w:tab w:val="decimal" w:pos="589"/>
              </w:tabs>
              <w:rPr>
                <w:rFonts w:ascii="Arial" w:hAnsi="Arial" w:cs="Arial"/>
                <w:color w:val="000000"/>
                <w:sz w:val="20"/>
                <w:szCs w:val="20"/>
              </w:rPr>
            </w:pPr>
            <w:r w:rsidRPr="00D82997">
              <w:rPr>
                <w:rFonts w:ascii="Arial" w:hAnsi="Arial" w:cs="Arial"/>
                <w:color w:val="000000"/>
                <w:sz w:val="20"/>
                <w:szCs w:val="20"/>
              </w:rPr>
              <w:t>-2.5</w:t>
            </w:r>
          </w:p>
        </w:tc>
        <w:tc>
          <w:tcPr>
            <w:tcW w:w="1440" w:type="dxa"/>
            <w:vAlign w:val="center"/>
          </w:tcPr>
          <w:p w14:paraId="314520A9" w14:textId="77777777" w:rsidR="009D01C9" w:rsidRPr="00D82997" w:rsidRDefault="009D01C9" w:rsidP="009478E1">
            <w:pPr>
              <w:jc w:val="center"/>
              <w:rPr>
                <w:rFonts w:ascii="Arial" w:hAnsi="Arial" w:cs="Arial"/>
                <w:sz w:val="20"/>
                <w:szCs w:val="20"/>
              </w:rPr>
            </w:pPr>
            <w:r w:rsidRPr="00D82997">
              <w:rPr>
                <w:rFonts w:ascii="Arial" w:hAnsi="Arial" w:cs="Arial"/>
                <w:b/>
                <w:bCs/>
                <w:color w:val="00B050"/>
                <w:sz w:val="20"/>
                <w:szCs w:val="20"/>
              </w:rPr>
              <w:sym w:font="Wingdings" w:char="F0FC"/>
            </w:r>
          </w:p>
        </w:tc>
        <w:tc>
          <w:tcPr>
            <w:tcW w:w="1440" w:type="dxa"/>
            <w:vAlign w:val="center"/>
          </w:tcPr>
          <w:p w14:paraId="4B4048DB" w14:textId="21252806" w:rsidR="009D01C9" w:rsidRPr="009D01C9" w:rsidRDefault="009D01C9" w:rsidP="009D01C9">
            <w:pPr>
              <w:jc w:val="center"/>
              <w:rPr>
                <w:rFonts w:ascii="Arial" w:hAnsi="Arial" w:cs="Arial"/>
                <w:bCs/>
                <w:color w:val="000000" w:themeColor="text1"/>
                <w:sz w:val="20"/>
                <w:szCs w:val="20"/>
              </w:rPr>
            </w:pPr>
            <w:r>
              <w:rPr>
                <w:rFonts w:ascii="Arial" w:hAnsi="Arial" w:cs="Arial"/>
                <w:bCs/>
                <w:color w:val="000000" w:themeColor="text1"/>
                <w:sz w:val="20"/>
                <w:szCs w:val="20"/>
              </w:rPr>
              <w:t>5</w:t>
            </w:r>
          </w:p>
        </w:tc>
      </w:tr>
      <w:tr w:rsidR="009D01C9" w:rsidRPr="00DB67E5" w14:paraId="1A293E69" w14:textId="7C37DC50" w:rsidTr="009D01C9">
        <w:tc>
          <w:tcPr>
            <w:tcW w:w="3312" w:type="dxa"/>
          </w:tcPr>
          <w:p w14:paraId="390719CD" w14:textId="4C5AD080" w:rsidR="009D01C9" w:rsidRPr="00D82997" w:rsidRDefault="009D01C9" w:rsidP="00221059">
            <w:pPr>
              <w:rPr>
                <w:rFonts w:ascii="Arial" w:hAnsi="Arial" w:cs="Arial"/>
                <w:color w:val="000000"/>
                <w:sz w:val="20"/>
                <w:szCs w:val="20"/>
              </w:rPr>
            </w:pPr>
            <w:r w:rsidRPr="00D82997">
              <w:rPr>
                <w:rFonts w:ascii="Arial" w:hAnsi="Arial" w:cs="Arial"/>
                <w:color w:val="000000"/>
                <w:sz w:val="20"/>
                <w:szCs w:val="20"/>
              </w:rPr>
              <w:t xml:space="preserve">Drinking alcohol perceived to be a little bit </w:t>
            </w:r>
            <w:r w:rsidR="002A180D">
              <w:rPr>
                <w:rFonts w:ascii="Arial" w:hAnsi="Arial" w:cs="Arial"/>
                <w:color w:val="000000"/>
                <w:sz w:val="20"/>
                <w:szCs w:val="20"/>
              </w:rPr>
              <w:t xml:space="preserve">wrong </w:t>
            </w:r>
            <w:r w:rsidRPr="00D82997">
              <w:rPr>
                <w:rFonts w:ascii="Arial" w:hAnsi="Arial" w:cs="Arial"/>
                <w:color w:val="000000"/>
                <w:sz w:val="20"/>
                <w:szCs w:val="20"/>
              </w:rPr>
              <w:t>or not at all wrong</w:t>
            </w:r>
          </w:p>
        </w:tc>
        <w:tc>
          <w:tcPr>
            <w:tcW w:w="1075" w:type="dxa"/>
            <w:vAlign w:val="center"/>
          </w:tcPr>
          <w:p w14:paraId="60758FA2" w14:textId="77777777" w:rsidR="009D01C9" w:rsidRPr="003909E9" w:rsidRDefault="009D01C9" w:rsidP="009478E1">
            <w:pPr>
              <w:ind w:left="216" w:hanging="216"/>
              <w:jc w:val="center"/>
              <w:rPr>
                <w:rFonts w:ascii="Arial" w:hAnsi="Arial" w:cs="Arial"/>
                <w:color w:val="000000"/>
                <w:sz w:val="20"/>
                <w:szCs w:val="20"/>
              </w:rPr>
            </w:pPr>
            <w:r>
              <w:rPr>
                <w:rFonts w:ascii="Arial" w:hAnsi="Arial" w:cs="Arial"/>
                <w:color w:val="000000"/>
                <w:sz w:val="20"/>
                <w:szCs w:val="20"/>
              </w:rPr>
              <w:t>10.9</w:t>
            </w:r>
          </w:p>
        </w:tc>
        <w:tc>
          <w:tcPr>
            <w:tcW w:w="1350" w:type="dxa"/>
            <w:shd w:val="clear" w:color="auto" w:fill="82F68A"/>
            <w:vAlign w:val="center"/>
          </w:tcPr>
          <w:p w14:paraId="1914229B" w14:textId="77777777" w:rsidR="009D01C9" w:rsidRPr="009B0E70" w:rsidRDefault="009D01C9" w:rsidP="009478E1">
            <w:pPr>
              <w:tabs>
                <w:tab w:val="decimal" w:pos="517"/>
              </w:tabs>
              <w:rPr>
                <w:rFonts w:ascii="Arial" w:hAnsi="Arial" w:cs="Arial"/>
                <w:color w:val="000000"/>
                <w:sz w:val="20"/>
                <w:szCs w:val="20"/>
              </w:rPr>
            </w:pPr>
            <w:r w:rsidRPr="009B0E70">
              <w:rPr>
                <w:rFonts w:ascii="Arial" w:hAnsi="Arial" w:cs="Arial"/>
                <w:color w:val="000000"/>
                <w:sz w:val="20"/>
                <w:szCs w:val="20"/>
              </w:rPr>
              <w:t>-4.5</w:t>
            </w:r>
          </w:p>
        </w:tc>
        <w:tc>
          <w:tcPr>
            <w:tcW w:w="1350" w:type="dxa"/>
            <w:vAlign w:val="center"/>
          </w:tcPr>
          <w:p w14:paraId="3480453D" w14:textId="77777777" w:rsidR="009D01C9" w:rsidRPr="00D82997" w:rsidRDefault="009D01C9" w:rsidP="009478E1">
            <w:pPr>
              <w:tabs>
                <w:tab w:val="decimal" w:pos="589"/>
              </w:tabs>
              <w:rPr>
                <w:rFonts w:ascii="Arial" w:hAnsi="Arial" w:cs="Arial"/>
                <w:color w:val="000000"/>
                <w:sz w:val="20"/>
                <w:szCs w:val="20"/>
              </w:rPr>
            </w:pPr>
            <w:r w:rsidRPr="00D82997">
              <w:rPr>
                <w:rFonts w:ascii="Arial" w:hAnsi="Arial" w:cs="Arial"/>
                <w:color w:val="000000"/>
                <w:sz w:val="20"/>
                <w:szCs w:val="20"/>
              </w:rPr>
              <w:t>3.5</w:t>
            </w:r>
          </w:p>
        </w:tc>
        <w:tc>
          <w:tcPr>
            <w:tcW w:w="1440" w:type="dxa"/>
            <w:vAlign w:val="center"/>
          </w:tcPr>
          <w:p w14:paraId="37ED0017" w14:textId="77777777" w:rsidR="009D01C9" w:rsidRPr="00D82997" w:rsidRDefault="009D01C9" w:rsidP="009478E1">
            <w:pPr>
              <w:jc w:val="center"/>
              <w:rPr>
                <w:rFonts w:ascii="Arial" w:hAnsi="Arial" w:cs="Arial"/>
                <w:sz w:val="20"/>
                <w:szCs w:val="20"/>
              </w:rPr>
            </w:pPr>
            <w:r w:rsidRPr="00D82997">
              <w:rPr>
                <w:rFonts w:ascii="Arial" w:hAnsi="Arial" w:cs="Arial"/>
                <w:b/>
                <w:bCs/>
                <w:color w:val="00B050"/>
                <w:sz w:val="20"/>
                <w:szCs w:val="20"/>
              </w:rPr>
              <w:sym w:font="Wingdings" w:char="F0FC"/>
            </w:r>
          </w:p>
        </w:tc>
        <w:tc>
          <w:tcPr>
            <w:tcW w:w="1440" w:type="dxa"/>
            <w:vAlign w:val="center"/>
          </w:tcPr>
          <w:p w14:paraId="060BD257" w14:textId="297D3B5C" w:rsidR="009D01C9" w:rsidRPr="009D01C9" w:rsidRDefault="009D01C9" w:rsidP="009D01C9">
            <w:pPr>
              <w:jc w:val="center"/>
              <w:rPr>
                <w:rFonts w:ascii="Arial" w:hAnsi="Arial" w:cs="Arial"/>
                <w:bCs/>
                <w:color w:val="000000" w:themeColor="text1"/>
                <w:sz w:val="20"/>
                <w:szCs w:val="20"/>
              </w:rPr>
            </w:pPr>
            <w:r>
              <w:rPr>
                <w:rFonts w:ascii="Arial" w:hAnsi="Arial" w:cs="Arial"/>
                <w:bCs/>
                <w:color w:val="000000" w:themeColor="text1"/>
                <w:sz w:val="20"/>
                <w:szCs w:val="20"/>
              </w:rPr>
              <w:t>4</w:t>
            </w:r>
          </w:p>
        </w:tc>
      </w:tr>
      <w:tr w:rsidR="009D01C9" w:rsidRPr="00DB67E5" w14:paraId="3ED3FCB5" w14:textId="0E910F07" w:rsidTr="009D01C9">
        <w:tc>
          <w:tcPr>
            <w:tcW w:w="3312" w:type="dxa"/>
          </w:tcPr>
          <w:p w14:paraId="3B4C03A2" w14:textId="52FD98CA" w:rsidR="009D01C9" w:rsidRPr="002A180D" w:rsidRDefault="00221059" w:rsidP="002A180D">
            <w:pPr>
              <w:rPr>
                <w:rFonts w:ascii="Arial" w:hAnsi="Arial" w:cs="Arial"/>
                <w:color w:val="000000"/>
                <w:sz w:val="20"/>
                <w:szCs w:val="20"/>
                <w:vertAlign w:val="superscript"/>
              </w:rPr>
            </w:pPr>
            <w:r w:rsidRPr="002A180D">
              <w:rPr>
                <w:rFonts w:ascii="Arial" w:hAnsi="Arial" w:cs="Arial"/>
                <w:color w:val="000000"/>
                <w:sz w:val="20"/>
                <w:szCs w:val="20"/>
              </w:rPr>
              <w:t>Perception that parents feel alcohol use by child is a little bit</w:t>
            </w:r>
            <w:r w:rsidR="002A180D" w:rsidRPr="002A180D">
              <w:rPr>
                <w:rFonts w:ascii="Arial" w:hAnsi="Arial" w:cs="Arial"/>
                <w:color w:val="000000"/>
                <w:sz w:val="20"/>
                <w:szCs w:val="20"/>
              </w:rPr>
              <w:t xml:space="preserve"> wrong or not at all wrong</w:t>
            </w:r>
            <w:r w:rsidR="002A180D" w:rsidRPr="002A180D">
              <w:rPr>
                <w:rFonts w:ascii="Arial" w:hAnsi="Arial" w:cs="Arial"/>
                <w:color w:val="000000"/>
                <w:sz w:val="20"/>
                <w:szCs w:val="20"/>
                <w:vertAlign w:val="superscript"/>
              </w:rPr>
              <w:t>6</w:t>
            </w:r>
          </w:p>
        </w:tc>
        <w:tc>
          <w:tcPr>
            <w:tcW w:w="1075" w:type="dxa"/>
            <w:vAlign w:val="center"/>
          </w:tcPr>
          <w:p w14:paraId="6E342E3F" w14:textId="77777777" w:rsidR="009D01C9" w:rsidRPr="003909E9" w:rsidRDefault="009D01C9" w:rsidP="009478E1">
            <w:pPr>
              <w:ind w:left="216" w:hanging="216"/>
              <w:jc w:val="center"/>
              <w:rPr>
                <w:rFonts w:ascii="Arial" w:hAnsi="Arial" w:cs="Arial"/>
                <w:color w:val="000000"/>
                <w:sz w:val="20"/>
                <w:szCs w:val="20"/>
              </w:rPr>
            </w:pPr>
            <w:r>
              <w:rPr>
                <w:rFonts w:ascii="Arial" w:hAnsi="Arial" w:cs="Arial"/>
                <w:color w:val="000000"/>
                <w:sz w:val="20"/>
                <w:szCs w:val="20"/>
              </w:rPr>
              <w:t>8.3</w:t>
            </w:r>
          </w:p>
        </w:tc>
        <w:tc>
          <w:tcPr>
            <w:tcW w:w="1350" w:type="dxa"/>
            <w:shd w:val="clear" w:color="auto" w:fill="82F68A"/>
            <w:vAlign w:val="center"/>
          </w:tcPr>
          <w:p w14:paraId="62DF2344" w14:textId="77777777" w:rsidR="009D01C9" w:rsidRPr="009B0E70" w:rsidRDefault="009D01C9" w:rsidP="009478E1">
            <w:pPr>
              <w:tabs>
                <w:tab w:val="decimal" w:pos="517"/>
              </w:tabs>
              <w:rPr>
                <w:rFonts w:ascii="Arial" w:hAnsi="Arial" w:cs="Arial"/>
                <w:color w:val="000000"/>
                <w:sz w:val="20"/>
                <w:szCs w:val="20"/>
              </w:rPr>
            </w:pPr>
            <w:r w:rsidRPr="009B0E70">
              <w:rPr>
                <w:rFonts w:ascii="Arial" w:hAnsi="Arial" w:cs="Arial"/>
                <w:color w:val="000000"/>
                <w:sz w:val="20"/>
                <w:szCs w:val="20"/>
              </w:rPr>
              <w:t>-4.9</w:t>
            </w:r>
          </w:p>
        </w:tc>
        <w:tc>
          <w:tcPr>
            <w:tcW w:w="1350" w:type="dxa"/>
            <w:vAlign w:val="center"/>
          </w:tcPr>
          <w:p w14:paraId="2558D5A0" w14:textId="77777777" w:rsidR="009D01C9" w:rsidRPr="00D82997" w:rsidRDefault="009D01C9" w:rsidP="009478E1">
            <w:pPr>
              <w:tabs>
                <w:tab w:val="decimal" w:pos="589"/>
              </w:tabs>
              <w:rPr>
                <w:rFonts w:ascii="Arial" w:hAnsi="Arial" w:cs="Arial"/>
                <w:color w:val="000000"/>
                <w:sz w:val="20"/>
                <w:szCs w:val="20"/>
              </w:rPr>
            </w:pPr>
            <w:r w:rsidRPr="00D82997">
              <w:rPr>
                <w:rFonts w:ascii="Arial" w:hAnsi="Arial" w:cs="Arial"/>
                <w:color w:val="000000"/>
                <w:sz w:val="20"/>
                <w:szCs w:val="20"/>
              </w:rPr>
              <w:t>-6.0</w:t>
            </w:r>
          </w:p>
        </w:tc>
        <w:tc>
          <w:tcPr>
            <w:tcW w:w="1440" w:type="dxa"/>
            <w:vAlign w:val="center"/>
          </w:tcPr>
          <w:p w14:paraId="5C082082" w14:textId="77777777" w:rsidR="009D01C9" w:rsidRPr="00D82997" w:rsidRDefault="009D01C9" w:rsidP="009478E1">
            <w:pPr>
              <w:jc w:val="center"/>
              <w:rPr>
                <w:rFonts w:ascii="Arial" w:hAnsi="Arial" w:cs="Arial"/>
                <w:sz w:val="20"/>
                <w:szCs w:val="20"/>
              </w:rPr>
            </w:pPr>
          </w:p>
        </w:tc>
        <w:tc>
          <w:tcPr>
            <w:tcW w:w="1440" w:type="dxa"/>
            <w:vAlign w:val="center"/>
          </w:tcPr>
          <w:p w14:paraId="6DFA3497" w14:textId="445AEF58" w:rsidR="009D01C9" w:rsidRPr="009D01C9" w:rsidRDefault="009D01C9" w:rsidP="009D01C9">
            <w:pPr>
              <w:jc w:val="center"/>
              <w:rPr>
                <w:rFonts w:ascii="Arial" w:hAnsi="Arial" w:cs="Arial"/>
                <w:color w:val="000000" w:themeColor="text1"/>
                <w:sz w:val="20"/>
                <w:szCs w:val="20"/>
              </w:rPr>
            </w:pPr>
            <w:r>
              <w:rPr>
                <w:rFonts w:ascii="Arial" w:hAnsi="Arial" w:cs="Arial"/>
                <w:color w:val="000000" w:themeColor="text1"/>
                <w:sz w:val="20"/>
                <w:szCs w:val="20"/>
              </w:rPr>
              <w:t>2</w:t>
            </w:r>
          </w:p>
        </w:tc>
      </w:tr>
      <w:tr w:rsidR="009D01C9" w:rsidRPr="00DB67E5" w14:paraId="6DBD56A8" w14:textId="32C075C6" w:rsidTr="009D01C9">
        <w:tc>
          <w:tcPr>
            <w:tcW w:w="3312" w:type="dxa"/>
          </w:tcPr>
          <w:p w14:paraId="659291A8" w14:textId="4730D235" w:rsidR="009D01C9" w:rsidRPr="00D82997" w:rsidRDefault="009D01C9" w:rsidP="00221059">
            <w:pPr>
              <w:rPr>
                <w:rFonts w:ascii="Arial" w:hAnsi="Arial" w:cs="Arial"/>
                <w:color w:val="000000"/>
                <w:sz w:val="20"/>
                <w:szCs w:val="20"/>
              </w:rPr>
            </w:pPr>
            <w:r>
              <w:rPr>
                <w:rFonts w:ascii="Arial" w:hAnsi="Arial" w:cs="Arial"/>
                <w:color w:val="000000"/>
                <w:sz w:val="20"/>
                <w:szCs w:val="20"/>
              </w:rPr>
              <w:t xml:space="preserve">Risk of harm </w:t>
            </w:r>
            <w:r w:rsidRPr="00D82997">
              <w:rPr>
                <w:rFonts w:ascii="Arial" w:hAnsi="Arial" w:cs="Arial"/>
                <w:color w:val="000000"/>
                <w:sz w:val="20"/>
                <w:szCs w:val="20"/>
              </w:rPr>
              <w:t>from binge drinking perceived to be no</w:t>
            </w:r>
            <w:r>
              <w:rPr>
                <w:rFonts w:ascii="Arial" w:hAnsi="Arial" w:cs="Arial"/>
                <w:color w:val="000000"/>
                <w:sz w:val="20"/>
                <w:szCs w:val="20"/>
              </w:rPr>
              <w:t>ne or slight</w:t>
            </w:r>
          </w:p>
        </w:tc>
        <w:tc>
          <w:tcPr>
            <w:tcW w:w="1075" w:type="dxa"/>
            <w:vAlign w:val="center"/>
          </w:tcPr>
          <w:p w14:paraId="42EAB512" w14:textId="77777777" w:rsidR="009D01C9" w:rsidRPr="003909E9" w:rsidRDefault="009D01C9" w:rsidP="009478E1">
            <w:pPr>
              <w:ind w:left="216" w:hanging="216"/>
              <w:jc w:val="center"/>
              <w:rPr>
                <w:rFonts w:ascii="Arial" w:hAnsi="Arial" w:cs="Arial"/>
                <w:color w:val="000000"/>
                <w:sz w:val="20"/>
                <w:szCs w:val="20"/>
              </w:rPr>
            </w:pPr>
            <w:r>
              <w:rPr>
                <w:rFonts w:ascii="Arial" w:hAnsi="Arial" w:cs="Arial"/>
                <w:color w:val="000000"/>
                <w:sz w:val="20"/>
                <w:szCs w:val="20"/>
              </w:rPr>
              <w:t>16.5</w:t>
            </w:r>
          </w:p>
        </w:tc>
        <w:tc>
          <w:tcPr>
            <w:tcW w:w="1350" w:type="dxa"/>
            <w:vAlign w:val="center"/>
          </w:tcPr>
          <w:p w14:paraId="4131419D" w14:textId="77777777" w:rsidR="009D01C9" w:rsidRPr="009B0E70" w:rsidRDefault="009D01C9" w:rsidP="009478E1">
            <w:pPr>
              <w:tabs>
                <w:tab w:val="decimal" w:pos="517"/>
              </w:tabs>
              <w:rPr>
                <w:rFonts w:ascii="Arial" w:hAnsi="Arial" w:cs="Arial"/>
                <w:color w:val="000000"/>
                <w:sz w:val="20"/>
                <w:szCs w:val="20"/>
              </w:rPr>
            </w:pPr>
            <w:r w:rsidRPr="009B0E70">
              <w:rPr>
                <w:rFonts w:ascii="Arial" w:hAnsi="Arial" w:cs="Arial"/>
                <w:color w:val="000000"/>
                <w:sz w:val="20"/>
                <w:szCs w:val="20"/>
              </w:rPr>
              <w:t>0.5</w:t>
            </w:r>
          </w:p>
        </w:tc>
        <w:tc>
          <w:tcPr>
            <w:tcW w:w="1350" w:type="dxa"/>
            <w:vAlign w:val="center"/>
          </w:tcPr>
          <w:p w14:paraId="19AF0838" w14:textId="77777777" w:rsidR="009D01C9" w:rsidRPr="00D82997" w:rsidRDefault="009D01C9" w:rsidP="009478E1">
            <w:pPr>
              <w:tabs>
                <w:tab w:val="decimal" w:pos="589"/>
              </w:tabs>
              <w:rPr>
                <w:rFonts w:ascii="Arial" w:hAnsi="Arial" w:cs="Arial"/>
                <w:color w:val="000000"/>
                <w:sz w:val="20"/>
                <w:szCs w:val="20"/>
              </w:rPr>
            </w:pPr>
            <w:r w:rsidRPr="00D82997">
              <w:rPr>
                <w:rFonts w:ascii="Arial" w:hAnsi="Arial" w:cs="Arial"/>
                <w:color w:val="000000"/>
                <w:sz w:val="20"/>
                <w:szCs w:val="20"/>
              </w:rPr>
              <w:t>-1.1</w:t>
            </w:r>
          </w:p>
        </w:tc>
        <w:tc>
          <w:tcPr>
            <w:tcW w:w="1440" w:type="dxa"/>
            <w:vAlign w:val="center"/>
          </w:tcPr>
          <w:p w14:paraId="6ADAFA33" w14:textId="77777777" w:rsidR="009D01C9" w:rsidRPr="00D82997" w:rsidRDefault="009D01C9" w:rsidP="009478E1">
            <w:pPr>
              <w:jc w:val="center"/>
              <w:rPr>
                <w:rFonts w:ascii="Arial" w:hAnsi="Arial" w:cs="Arial"/>
                <w:sz w:val="20"/>
                <w:szCs w:val="20"/>
              </w:rPr>
            </w:pPr>
          </w:p>
        </w:tc>
        <w:tc>
          <w:tcPr>
            <w:tcW w:w="1440" w:type="dxa"/>
            <w:vAlign w:val="center"/>
          </w:tcPr>
          <w:p w14:paraId="1C72FC95" w14:textId="6F9CE246" w:rsidR="009D01C9" w:rsidRPr="009D01C9" w:rsidRDefault="009D01C9" w:rsidP="009D01C9">
            <w:pPr>
              <w:jc w:val="center"/>
              <w:rPr>
                <w:rFonts w:ascii="Arial" w:hAnsi="Arial" w:cs="Arial"/>
                <w:color w:val="000000" w:themeColor="text1"/>
                <w:sz w:val="20"/>
                <w:szCs w:val="20"/>
              </w:rPr>
            </w:pPr>
            <w:r>
              <w:rPr>
                <w:rFonts w:ascii="Arial" w:hAnsi="Arial" w:cs="Arial"/>
                <w:color w:val="000000" w:themeColor="text1"/>
                <w:sz w:val="20"/>
                <w:szCs w:val="20"/>
              </w:rPr>
              <w:t>3</w:t>
            </w:r>
          </w:p>
        </w:tc>
      </w:tr>
      <w:tr w:rsidR="009D01C9" w:rsidRPr="00DB67E5" w14:paraId="0F4868AE" w14:textId="025096D5" w:rsidTr="009D01C9">
        <w:tc>
          <w:tcPr>
            <w:tcW w:w="3312" w:type="dxa"/>
            <w:shd w:val="clear" w:color="auto" w:fill="F2F2F2"/>
          </w:tcPr>
          <w:p w14:paraId="13B26D09" w14:textId="77777777" w:rsidR="009D01C9" w:rsidRPr="00D82997" w:rsidRDefault="009D01C9" w:rsidP="009478E1">
            <w:pPr>
              <w:rPr>
                <w:rFonts w:ascii="Arial" w:hAnsi="Arial" w:cs="Arial"/>
                <w:b/>
                <w:bCs/>
                <w:sz w:val="20"/>
                <w:szCs w:val="20"/>
              </w:rPr>
            </w:pPr>
            <w:r w:rsidRPr="00D82997">
              <w:rPr>
                <w:rFonts w:ascii="Arial" w:hAnsi="Arial" w:cs="Arial"/>
                <w:b/>
                <w:bCs/>
                <w:sz w:val="20"/>
                <w:szCs w:val="20"/>
              </w:rPr>
              <w:t>High School Students</w:t>
            </w:r>
          </w:p>
        </w:tc>
        <w:tc>
          <w:tcPr>
            <w:tcW w:w="1075" w:type="dxa"/>
            <w:shd w:val="clear" w:color="auto" w:fill="F2F2F2"/>
            <w:vAlign w:val="center"/>
          </w:tcPr>
          <w:p w14:paraId="3F0DAB71" w14:textId="77777777" w:rsidR="009D01C9" w:rsidRPr="003909E9" w:rsidRDefault="009D01C9" w:rsidP="009478E1">
            <w:pPr>
              <w:rPr>
                <w:rFonts w:ascii="Arial" w:hAnsi="Arial" w:cs="Arial"/>
                <w:bCs/>
                <w:sz w:val="20"/>
                <w:szCs w:val="20"/>
              </w:rPr>
            </w:pPr>
          </w:p>
        </w:tc>
        <w:tc>
          <w:tcPr>
            <w:tcW w:w="1350" w:type="dxa"/>
            <w:shd w:val="clear" w:color="auto" w:fill="F2F2F2"/>
            <w:vAlign w:val="center"/>
          </w:tcPr>
          <w:p w14:paraId="0A76D83C" w14:textId="77777777" w:rsidR="009D01C9" w:rsidRPr="002F6C42" w:rsidRDefault="009D01C9" w:rsidP="009478E1">
            <w:pPr>
              <w:rPr>
                <w:rFonts w:ascii="Arial" w:hAnsi="Arial" w:cs="Arial"/>
                <w:sz w:val="20"/>
                <w:szCs w:val="20"/>
              </w:rPr>
            </w:pPr>
          </w:p>
        </w:tc>
        <w:tc>
          <w:tcPr>
            <w:tcW w:w="1350" w:type="dxa"/>
            <w:shd w:val="clear" w:color="auto" w:fill="F2F2F2"/>
          </w:tcPr>
          <w:p w14:paraId="0C522288" w14:textId="77777777" w:rsidR="009D01C9" w:rsidRPr="00D82997" w:rsidRDefault="009D01C9" w:rsidP="009478E1">
            <w:pPr>
              <w:rPr>
                <w:rFonts w:ascii="Arial" w:hAnsi="Arial" w:cs="Arial"/>
                <w:sz w:val="20"/>
                <w:szCs w:val="20"/>
              </w:rPr>
            </w:pPr>
          </w:p>
        </w:tc>
        <w:tc>
          <w:tcPr>
            <w:tcW w:w="1440" w:type="dxa"/>
            <w:shd w:val="clear" w:color="auto" w:fill="F2F2F2"/>
          </w:tcPr>
          <w:p w14:paraId="46037FBE" w14:textId="77777777" w:rsidR="009D01C9" w:rsidRPr="00D82997" w:rsidRDefault="009D01C9" w:rsidP="009478E1">
            <w:pPr>
              <w:rPr>
                <w:rFonts w:ascii="Arial" w:hAnsi="Arial" w:cs="Arial"/>
                <w:sz w:val="20"/>
                <w:szCs w:val="20"/>
              </w:rPr>
            </w:pPr>
          </w:p>
        </w:tc>
        <w:tc>
          <w:tcPr>
            <w:tcW w:w="1440" w:type="dxa"/>
            <w:shd w:val="clear" w:color="auto" w:fill="F2F2F2"/>
            <w:vAlign w:val="center"/>
          </w:tcPr>
          <w:p w14:paraId="68B70D6B" w14:textId="77777777" w:rsidR="009D01C9" w:rsidRPr="009D01C9" w:rsidRDefault="009D01C9" w:rsidP="009D01C9">
            <w:pPr>
              <w:jc w:val="center"/>
              <w:rPr>
                <w:rFonts w:ascii="Arial" w:hAnsi="Arial" w:cs="Arial"/>
                <w:color w:val="000000" w:themeColor="text1"/>
                <w:sz w:val="20"/>
                <w:szCs w:val="20"/>
              </w:rPr>
            </w:pPr>
          </w:p>
        </w:tc>
      </w:tr>
      <w:tr w:rsidR="009D01C9" w:rsidRPr="00DB67E5" w14:paraId="4339DF84" w14:textId="518AA9E0" w:rsidTr="009D01C9">
        <w:tc>
          <w:tcPr>
            <w:tcW w:w="3312" w:type="dxa"/>
            <w:shd w:val="clear" w:color="auto" w:fill="F2F2F2"/>
          </w:tcPr>
          <w:p w14:paraId="67E487B7" w14:textId="77777777" w:rsidR="009D01C9" w:rsidRPr="00723082" w:rsidRDefault="009D01C9" w:rsidP="009478E1">
            <w:pPr>
              <w:rPr>
                <w:rFonts w:ascii="Arial" w:hAnsi="Arial" w:cs="Arial"/>
                <w:sz w:val="20"/>
                <w:szCs w:val="20"/>
                <w:vertAlign w:val="superscript"/>
              </w:rPr>
            </w:pPr>
            <w:r w:rsidRPr="00D82997">
              <w:rPr>
                <w:rFonts w:ascii="Arial" w:hAnsi="Arial" w:cs="Arial"/>
                <w:sz w:val="20"/>
                <w:szCs w:val="20"/>
              </w:rPr>
              <w:t>Substance Use Behaviors</w:t>
            </w:r>
            <w:r>
              <w:rPr>
                <w:rFonts w:ascii="Arial" w:hAnsi="Arial" w:cs="Arial"/>
                <w:sz w:val="20"/>
                <w:szCs w:val="20"/>
                <w:vertAlign w:val="superscript"/>
              </w:rPr>
              <w:t>5</w:t>
            </w:r>
          </w:p>
        </w:tc>
        <w:tc>
          <w:tcPr>
            <w:tcW w:w="1075" w:type="dxa"/>
            <w:shd w:val="clear" w:color="auto" w:fill="F2F2F2"/>
            <w:vAlign w:val="center"/>
          </w:tcPr>
          <w:p w14:paraId="453773A3" w14:textId="77777777" w:rsidR="009D01C9" w:rsidRPr="003909E9" w:rsidRDefault="009D01C9" w:rsidP="009478E1">
            <w:pPr>
              <w:jc w:val="center"/>
              <w:rPr>
                <w:rFonts w:ascii="Arial" w:hAnsi="Arial" w:cs="Arial"/>
                <w:sz w:val="20"/>
                <w:szCs w:val="20"/>
              </w:rPr>
            </w:pPr>
          </w:p>
        </w:tc>
        <w:tc>
          <w:tcPr>
            <w:tcW w:w="1350" w:type="dxa"/>
            <w:tcBorders>
              <w:bottom w:val="single" w:sz="4" w:space="0" w:color="auto"/>
            </w:tcBorders>
            <w:shd w:val="clear" w:color="auto" w:fill="F2F2F2"/>
          </w:tcPr>
          <w:p w14:paraId="7B5C0D3A" w14:textId="77777777" w:rsidR="009D01C9" w:rsidRPr="009B0E70" w:rsidRDefault="009D01C9" w:rsidP="009478E1">
            <w:pPr>
              <w:rPr>
                <w:rFonts w:ascii="Arial" w:hAnsi="Arial" w:cs="Arial"/>
                <w:sz w:val="20"/>
                <w:szCs w:val="20"/>
              </w:rPr>
            </w:pPr>
          </w:p>
        </w:tc>
        <w:tc>
          <w:tcPr>
            <w:tcW w:w="1350" w:type="dxa"/>
            <w:shd w:val="clear" w:color="auto" w:fill="F2F2F2"/>
          </w:tcPr>
          <w:p w14:paraId="1574622F" w14:textId="77777777" w:rsidR="009D01C9" w:rsidRPr="00D82997" w:rsidRDefault="009D01C9" w:rsidP="009478E1">
            <w:pPr>
              <w:rPr>
                <w:rFonts w:ascii="Arial" w:hAnsi="Arial" w:cs="Arial"/>
                <w:sz w:val="20"/>
                <w:szCs w:val="20"/>
              </w:rPr>
            </w:pPr>
          </w:p>
        </w:tc>
        <w:tc>
          <w:tcPr>
            <w:tcW w:w="1440" w:type="dxa"/>
            <w:shd w:val="clear" w:color="auto" w:fill="F2F2F2"/>
          </w:tcPr>
          <w:p w14:paraId="2CE75F25" w14:textId="77777777" w:rsidR="009D01C9" w:rsidRPr="00D82997" w:rsidRDefault="009D01C9" w:rsidP="009478E1">
            <w:pPr>
              <w:rPr>
                <w:rFonts w:ascii="Arial" w:hAnsi="Arial" w:cs="Arial"/>
                <w:sz w:val="20"/>
                <w:szCs w:val="20"/>
              </w:rPr>
            </w:pPr>
          </w:p>
        </w:tc>
        <w:tc>
          <w:tcPr>
            <w:tcW w:w="1440" w:type="dxa"/>
            <w:shd w:val="clear" w:color="auto" w:fill="F2F2F2"/>
            <w:vAlign w:val="center"/>
          </w:tcPr>
          <w:p w14:paraId="4FA3C559" w14:textId="77777777" w:rsidR="009D01C9" w:rsidRPr="009D01C9" w:rsidRDefault="009D01C9" w:rsidP="009D01C9">
            <w:pPr>
              <w:jc w:val="center"/>
              <w:rPr>
                <w:rFonts w:ascii="Arial" w:hAnsi="Arial" w:cs="Arial"/>
                <w:color w:val="000000" w:themeColor="text1"/>
                <w:sz w:val="20"/>
                <w:szCs w:val="20"/>
              </w:rPr>
            </w:pPr>
          </w:p>
        </w:tc>
      </w:tr>
      <w:tr w:rsidR="009D01C9" w:rsidRPr="00DB67E5" w14:paraId="16216535" w14:textId="58D6D267" w:rsidTr="009D01C9">
        <w:tc>
          <w:tcPr>
            <w:tcW w:w="3312" w:type="dxa"/>
          </w:tcPr>
          <w:p w14:paraId="1E4092F6" w14:textId="2B35BA17" w:rsidR="009D01C9" w:rsidRPr="00D82997" w:rsidRDefault="009D01C9" w:rsidP="009478E1">
            <w:pPr>
              <w:rPr>
                <w:rFonts w:ascii="Arial" w:hAnsi="Arial" w:cs="Arial"/>
                <w:sz w:val="20"/>
                <w:szCs w:val="20"/>
              </w:rPr>
            </w:pPr>
            <w:r w:rsidRPr="00D82997">
              <w:rPr>
                <w:rFonts w:ascii="Arial" w:hAnsi="Arial" w:cs="Arial"/>
                <w:sz w:val="20"/>
                <w:szCs w:val="20"/>
              </w:rPr>
              <w:t>Current alcohol use</w:t>
            </w:r>
          </w:p>
        </w:tc>
        <w:tc>
          <w:tcPr>
            <w:tcW w:w="1075" w:type="dxa"/>
            <w:vAlign w:val="center"/>
          </w:tcPr>
          <w:p w14:paraId="2E52B033" w14:textId="77777777" w:rsidR="009D01C9" w:rsidRPr="003909E9" w:rsidRDefault="009D01C9" w:rsidP="009478E1">
            <w:pPr>
              <w:jc w:val="center"/>
              <w:rPr>
                <w:rFonts w:ascii="Arial" w:hAnsi="Arial" w:cs="Arial"/>
                <w:sz w:val="20"/>
                <w:szCs w:val="20"/>
              </w:rPr>
            </w:pPr>
            <w:r>
              <w:rPr>
                <w:rFonts w:ascii="Arial" w:hAnsi="Arial" w:cs="Arial"/>
                <w:sz w:val="20"/>
                <w:szCs w:val="20"/>
              </w:rPr>
              <w:t>33.9</w:t>
            </w:r>
          </w:p>
        </w:tc>
        <w:tc>
          <w:tcPr>
            <w:tcW w:w="1350" w:type="dxa"/>
            <w:shd w:val="clear" w:color="auto" w:fill="82F68A"/>
            <w:vAlign w:val="bottom"/>
          </w:tcPr>
          <w:p w14:paraId="353E5D49" w14:textId="77777777" w:rsidR="009D01C9" w:rsidRPr="009B0E70" w:rsidRDefault="009D01C9" w:rsidP="009478E1">
            <w:pPr>
              <w:tabs>
                <w:tab w:val="decimal" w:pos="517"/>
              </w:tabs>
              <w:rPr>
                <w:rFonts w:ascii="Arial" w:hAnsi="Arial" w:cs="Arial"/>
                <w:color w:val="000000"/>
                <w:sz w:val="20"/>
                <w:szCs w:val="20"/>
              </w:rPr>
            </w:pPr>
            <w:r w:rsidRPr="009B0E70">
              <w:rPr>
                <w:rFonts w:ascii="Arial" w:hAnsi="Arial" w:cs="Arial"/>
                <w:color w:val="000000"/>
                <w:sz w:val="20"/>
                <w:szCs w:val="20"/>
              </w:rPr>
              <w:t>-13.4</w:t>
            </w:r>
          </w:p>
        </w:tc>
        <w:tc>
          <w:tcPr>
            <w:tcW w:w="1350" w:type="dxa"/>
            <w:vAlign w:val="bottom"/>
          </w:tcPr>
          <w:p w14:paraId="348D7B4F" w14:textId="77777777" w:rsidR="009D01C9" w:rsidRPr="00D82997" w:rsidRDefault="009D01C9" w:rsidP="009478E1">
            <w:pPr>
              <w:tabs>
                <w:tab w:val="decimal" w:pos="589"/>
              </w:tabs>
              <w:rPr>
                <w:rFonts w:ascii="Arial" w:hAnsi="Arial" w:cs="Arial"/>
                <w:color w:val="000000"/>
                <w:sz w:val="20"/>
                <w:szCs w:val="20"/>
              </w:rPr>
            </w:pPr>
            <w:r w:rsidRPr="00D82997">
              <w:rPr>
                <w:rFonts w:ascii="Arial" w:hAnsi="Arial" w:cs="Arial"/>
                <w:color w:val="000000"/>
                <w:sz w:val="20"/>
                <w:szCs w:val="20"/>
              </w:rPr>
              <w:t>-6.8</w:t>
            </w:r>
          </w:p>
        </w:tc>
        <w:tc>
          <w:tcPr>
            <w:tcW w:w="1440" w:type="dxa"/>
            <w:vAlign w:val="center"/>
          </w:tcPr>
          <w:p w14:paraId="32C04B9C" w14:textId="77777777" w:rsidR="009D01C9" w:rsidRPr="00D82997" w:rsidRDefault="009D01C9" w:rsidP="009478E1">
            <w:pPr>
              <w:jc w:val="center"/>
              <w:rPr>
                <w:rFonts w:ascii="Arial" w:hAnsi="Arial" w:cs="Arial"/>
                <w:sz w:val="20"/>
                <w:szCs w:val="20"/>
              </w:rPr>
            </w:pPr>
            <w:r>
              <w:rPr>
                <w:rFonts w:ascii="Arial" w:hAnsi="Arial" w:cs="Arial"/>
                <w:b/>
                <w:bCs/>
                <w:color w:val="00B050"/>
                <w:sz w:val="20"/>
                <w:szCs w:val="20"/>
              </w:rPr>
              <w:t xml:space="preserve">   </w:t>
            </w:r>
            <w:r w:rsidRPr="00D82997">
              <w:rPr>
                <w:rFonts w:ascii="Arial" w:hAnsi="Arial" w:cs="Arial"/>
                <w:b/>
                <w:bCs/>
                <w:color w:val="00B050"/>
                <w:sz w:val="20"/>
                <w:szCs w:val="20"/>
              </w:rPr>
              <w:sym w:font="Wingdings" w:char="F0FC"/>
            </w:r>
            <w:r w:rsidRPr="00090441">
              <w:rPr>
                <w:rFonts w:ascii="Arial" w:hAnsi="Arial" w:cs="Arial"/>
                <w:b/>
                <w:bCs/>
                <w:sz w:val="20"/>
                <w:szCs w:val="20"/>
              </w:rPr>
              <w:t>**</w:t>
            </w:r>
          </w:p>
        </w:tc>
        <w:tc>
          <w:tcPr>
            <w:tcW w:w="1440" w:type="dxa"/>
            <w:vAlign w:val="center"/>
          </w:tcPr>
          <w:p w14:paraId="4452A8E9" w14:textId="70A1996D" w:rsidR="009D01C9" w:rsidRPr="009D01C9" w:rsidRDefault="009D01C9" w:rsidP="009D01C9">
            <w:pPr>
              <w:jc w:val="center"/>
              <w:rPr>
                <w:rFonts w:ascii="Arial" w:hAnsi="Arial" w:cs="Arial"/>
                <w:bCs/>
                <w:color w:val="000000" w:themeColor="text1"/>
                <w:sz w:val="20"/>
                <w:szCs w:val="20"/>
              </w:rPr>
            </w:pPr>
            <w:r>
              <w:rPr>
                <w:rFonts w:ascii="Arial" w:hAnsi="Arial" w:cs="Arial"/>
                <w:bCs/>
                <w:color w:val="000000" w:themeColor="text1"/>
                <w:sz w:val="20"/>
                <w:szCs w:val="20"/>
              </w:rPr>
              <w:t>6</w:t>
            </w:r>
          </w:p>
        </w:tc>
      </w:tr>
      <w:tr w:rsidR="009D01C9" w:rsidRPr="00DB67E5" w14:paraId="41E9EC2E" w14:textId="3226D746" w:rsidTr="009D01C9">
        <w:tc>
          <w:tcPr>
            <w:tcW w:w="3312" w:type="dxa"/>
          </w:tcPr>
          <w:p w14:paraId="1A346B50" w14:textId="7470ECB4" w:rsidR="009D01C9" w:rsidRPr="00D82997" w:rsidRDefault="009D01C9" w:rsidP="009478E1">
            <w:pPr>
              <w:rPr>
                <w:rFonts w:ascii="Arial" w:hAnsi="Arial" w:cs="Arial"/>
                <w:sz w:val="20"/>
                <w:szCs w:val="20"/>
              </w:rPr>
            </w:pPr>
            <w:r w:rsidRPr="00D82997">
              <w:rPr>
                <w:rFonts w:ascii="Arial" w:hAnsi="Arial" w:cs="Arial"/>
                <w:sz w:val="20"/>
                <w:szCs w:val="20"/>
              </w:rPr>
              <w:t>Current binge drinking</w:t>
            </w:r>
          </w:p>
        </w:tc>
        <w:tc>
          <w:tcPr>
            <w:tcW w:w="1075" w:type="dxa"/>
            <w:vAlign w:val="center"/>
          </w:tcPr>
          <w:p w14:paraId="6805935C" w14:textId="77777777" w:rsidR="009D01C9" w:rsidRPr="003909E9" w:rsidRDefault="009D01C9" w:rsidP="009478E1">
            <w:pPr>
              <w:jc w:val="center"/>
              <w:rPr>
                <w:rFonts w:ascii="Arial" w:hAnsi="Arial" w:cs="Arial"/>
                <w:sz w:val="20"/>
                <w:szCs w:val="20"/>
              </w:rPr>
            </w:pPr>
            <w:r>
              <w:rPr>
                <w:rFonts w:ascii="Arial" w:hAnsi="Arial" w:cs="Arial"/>
                <w:sz w:val="20"/>
                <w:szCs w:val="20"/>
              </w:rPr>
              <w:t>20.0</w:t>
            </w:r>
          </w:p>
        </w:tc>
        <w:tc>
          <w:tcPr>
            <w:tcW w:w="1350" w:type="dxa"/>
            <w:shd w:val="clear" w:color="auto" w:fill="82F68A"/>
            <w:vAlign w:val="bottom"/>
          </w:tcPr>
          <w:p w14:paraId="38F30C36" w14:textId="77777777" w:rsidR="009D01C9" w:rsidRPr="009B0E70" w:rsidRDefault="009D01C9" w:rsidP="009478E1">
            <w:pPr>
              <w:tabs>
                <w:tab w:val="decimal" w:pos="517"/>
              </w:tabs>
              <w:rPr>
                <w:rFonts w:ascii="Arial" w:hAnsi="Arial" w:cs="Arial"/>
                <w:color w:val="000000"/>
                <w:sz w:val="20"/>
                <w:szCs w:val="20"/>
              </w:rPr>
            </w:pPr>
            <w:r w:rsidRPr="009B0E70">
              <w:rPr>
                <w:rFonts w:ascii="Arial" w:hAnsi="Arial" w:cs="Arial"/>
                <w:color w:val="000000"/>
                <w:sz w:val="20"/>
                <w:szCs w:val="20"/>
              </w:rPr>
              <w:t>-21.4</w:t>
            </w:r>
          </w:p>
        </w:tc>
        <w:tc>
          <w:tcPr>
            <w:tcW w:w="1350" w:type="dxa"/>
            <w:vAlign w:val="bottom"/>
          </w:tcPr>
          <w:p w14:paraId="5F283AA6" w14:textId="77777777" w:rsidR="009D01C9" w:rsidRPr="00D82997" w:rsidRDefault="009D01C9" w:rsidP="009478E1">
            <w:pPr>
              <w:tabs>
                <w:tab w:val="decimal" w:pos="589"/>
              </w:tabs>
              <w:rPr>
                <w:rFonts w:ascii="Arial" w:hAnsi="Arial" w:cs="Arial"/>
                <w:color w:val="000000"/>
                <w:sz w:val="20"/>
                <w:szCs w:val="20"/>
              </w:rPr>
            </w:pPr>
            <w:r w:rsidRPr="00D82997">
              <w:rPr>
                <w:rFonts w:ascii="Arial" w:hAnsi="Arial" w:cs="Arial"/>
                <w:color w:val="000000"/>
                <w:sz w:val="20"/>
                <w:szCs w:val="20"/>
              </w:rPr>
              <w:t>-18.6</w:t>
            </w:r>
          </w:p>
        </w:tc>
        <w:tc>
          <w:tcPr>
            <w:tcW w:w="1440" w:type="dxa"/>
            <w:vAlign w:val="center"/>
          </w:tcPr>
          <w:p w14:paraId="255ED3A3" w14:textId="77777777" w:rsidR="009D01C9" w:rsidRPr="00D82997" w:rsidRDefault="009D01C9" w:rsidP="009478E1">
            <w:pPr>
              <w:jc w:val="center"/>
              <w:rPr>
                <w:rFonts w:ascii="Arial" w:hAnsi="Arial" w:cs="Arial"/>
                <w:sz w:val="20"/>
                <w:szCs w:val="20"/>
              </w:rPr>
            </w:pPr>
            <w:r w:rsidRPr="00D82997">
              <w:rPr>
                <w:rFonts w:ascii="Arial" w:hAnsi="Arial" w:cs="Arial"/>
                <w:b/>
                <w:bCs/>
                <w:color w:val="00B050"/>
                <w:sz w:val="20"/>
                <w:szCs w:val="20"/>
              </w:rPr>
              <w:sym w:font="Wingdings" w:char="F0FC"/>
            </w:r>
          </w:p>
        </w:tc>
        <w:tc>
          <w:tcPr>
            <w:tcW w:w="1440" w:type="dxa"/>
            <w:vAlign w:val="center"/>
          </w:tcPr>
          <w:p w14:paraId="171D7019" w14:textId="0287F080" w:rsidR="009D01C9" w:rsidRPr="009D01C9" w:rsidRDefault="009D01C9" w:rsidP="009D01C9">
            <w:pPr>
              <w:jc w:val="center"/>
              <w:rPr>
                <w:rFonts w:ascii="Arial" w:hAnsi="Arial" w:cs="Arial"/>
                <w:bCs/>
                <w:color w:val="000000" w:themeColor="text1"/>
                <w:sz w:val="20"/>
                <w:szCs w:val="20"/>
              </w:rPr>
            </w:pPr>
            <w:r>
              <w:rPr>
                <w:rFonts w:ascii="Arial" w:hAnsi="Arial" w:cs="Arial"/>
                <w:bCs/>
                <w:color w:val="000000" w:themeColor="text1"/>
                <w:sz w:val="20"/>
                <w:szCs w:val="20"/>
              </w:rPr>
              <w:t>4</w:t>
            </w:r>
          </w:p>
        </w:tc>
      </w:tr>
      <w:tr w:rsidR="009D01C9" w:rsidRPr="00DB67E5" w14:paraId="7D5BA37E" w14:textId="5F62367D" w:rsidTr="009D01C9">
        <w:tc>
          <w:tcPr>
            <w:tcW w:w="3312" w:type="dxa"/>
          </w:tcPr>
          <w:p w14:paraId="461683FE" w14:textId="77777777" w:rsidR="009D01C9" w:rsidRPr="00D82997" w:rsidRDefault="009D01C9" w:rsidP="00221059">
            <w:pPr>
              <w:rPr>
                <w:rFonts w:ascii="Arial" w:hAnsi="Arial" w:cs="Arial"/>
                <w:sz w:val="20"/>
                <w:szCs w:val="20"/>
              </w:rPr>
            </w:pPr>
            <w:r w:rsidRPr="00D82997">
              <w:rPr>
                <w:rFonts w:ascii="Arial" w:hAnsi="Arial" w:cs="Arial"/>
                <w:sz w:val="20"/>
                <w:szCs w:val="20"/>
              </w:rPr>
              <w:t>Lifetime Rx pain reliever misuse</w:t>
            </w:r>
          </w:p>
        </w:tc>
        <w:tc>
          <w:tcPr>
            <w:tcW w:w="1075" w:type="dxa"/>
            <w:vAlign w:val="center"/>
          </w:tcPr>
          <w:p w14:paraId="68D27499" w14:textId="77777777" w:rsidR="009D01C9" w:rsidRPr="003909E9" w:rsidRDefault="009D01C9" w:rsidP="009478E1">
            <w:pPr>
              <w:jc w:val="center"/>
              <w:rPr>
                <w:rFonts w:ascii="Arial" w:hAnsi="Arial" w:cs="Arial"/>
                <w:sz w:val="20"/>
                <w:szCs w:val="20"/>
              </w:rPr>
            </w:pPr>
            <w:r>
              <w:rPr>
                <w:rFonts w:ascii="Arial" w:hAnsi="Arial" w:cs="Arial"/>
                <w:sz w:val="20"/>
                <w:szCs w:val="20"/>
              </w:rPr>
              <w:t>11.4</w:t>
            </w:r>
          </w:p>
        </w:tc>
        <w:tc>
          <w:tcPr>
            <w:tcW w:w="1350" w:type="dxa"/>
            <w:shd w:val="clear" w:color="auto" w:fill="82F68A"/>
            <w:vAlign w:val="bottom"/>
          </w:tcPr>
          <w:p w14:paraId="6CCFFCCD" w14:textId="77777777" w:rsidR="009D01C9" w:rsidRPr="009B0E70" w:rsidRDefault="009D01C9" w:rsidP="009478E1">
            <w:pPr>
              <w:tabs>
                <w:tab w:val="decimal" w:pos="517"/>
              </w:tabs>
              <w:rPr>
                <w:rFonts w:ascii="Arial" w:hAnsi="Arial" w:cs="Arial"/>
                <w:color w:val="000000"/>
                <w:sz w:val="20"/>
                <w:szCs w:val="20"/>
              </w:rPr>
            </w:pPr>
            <w:r w:rsidRPr="009B0E70">
              <w:rPr>
                <w:rFonts w:ascii="Arial" w:hAnsi="Arial" w:cs="Arial"/>
                <w:color w:val="000000"/>
                <w:sz w:val="20"/>
                <w:szCs w:val="20"/>
              </w:rPr>
              <w:t>-26.8</w:t>
            </w:r>
          </w:p>
        </w:tc>
        <w:tc>
          <w:tcPr>
            <w:tcW w:w="1350" w:type="dxa"/>
            <w:vAlign w:val="bottom"/>
          </w:tcPr>
          <w:p w14:paraId="022241E8" w14:textId="77777777" w:rsidR="009D01C9" w:rsidRPr="00D82997" w:rsidRDefault="009D01C9" w:rsidP="009478E1">
            <w:pPr>
              <w:tabs>
                <w:tab w:val="decimal" w:pos="589"/>
              </w:tabs>
              <w:rPr>
                <w:rFonts w:ascii="Arial" w:hAnsi="Arial" w:cs="Arial"/>
                <w:color w:val="000000"/>
                <w:sz w:val="20"/>
                <w:szCs w:val="20"/>
              </w:rPr>
            </w:pPr>
            <w:r w:rsidRPr="00D82997">
              <w:rPr>
                <w:rFonts w:ascii="Arial" w:hAnsi="Arial" w:cs="Arial"/>
                <w:color w:val="000000"/>
                <w:sz w:val="20"/>
                <w:szCs w:val="20"/>
              </w:rPr>
              <w:t>-24.8</w:t>
            </w:r>
          </w:p>
        </w:tc>
        <w:tc>
          <w:tcPr>
            <w:tcW w:w="1440" w:type="dxa"/>
            <w:vAlign w:val="center"/>
          </w:tcPr>
          <w:p w14:paraId="77471774" w14:textId="77777777" w:rsidR="009D01C9" w:rsidRPr="00D82997" w:rsidRDefault="009D01C9" w:rsidP="009478E1">
            <w:pPr>
              <w:jc w:val="center"/>
              <w:rPr>
                <w:rFonts w:ascii="Arial" w:hAnsi="Arial" w:cs="Arial"/>
                <w:sz w:val="20"/>
                <w:szCs w:val="20"/>
              </w:rPr>
            </w:pPr>
            <w:r w:rsidRPr="00D82997">
              <w:rPr>
                <w:rFonts w:ascii="Arial" w:hAnsi="Arial" w:cs="Arial"/>
                <w:b/>
                <w:bCs/>
                <w:color w:val="00B050"/>
                <w:sz w:val="20"/>
                <w:szCs w:val="20"/>
              </w:rPr>
              <w:sym w:font="Wingdings" w:char="F0FC"/>
            </w:r>
          </w:p>
        </w:tc>
        <w:tc>
          <w:tcPr>
            <w:tcW w:w="1440" w:type="dxa"/>
            <w:vAlign w:val="center"/>
          </w:tcPr>
          <w:p w14:paraId="55D13738" w14:textId="34220264" w:rsidR="009D01C9" w:rsidRPr="009D01C9" w:rsidRDefault="009D01C9" w:rsidP="009D01C9">
            <w:pPr>
              <w:jc w:val="center"/>
              <w:rPr>
                <w:rFonts w:ascii="Arial" w:hAnsi="Arial" w:cs="Arial"/>
                <w:bCs/>
                <w:color w:val="000000" w:themeColor="text1"/>
                <w:sz w:val="20"/>
                <w:szCs w:val="20"/>
              </w:rPr>
            </w:pPr>
            <w:r>
              <w:rPr>
                <w:rFonts w:ascii="Arial" w:hAnsi="Arial" w:cs="Arial"/>
                <w:bCs/>
                <w:color w:val="000000" w:themeColor="text1"/>
                <w:sz w:val="20"/>
                <w:szCs w:val="20"/>
              </w:rPr>
              <w:t>3</w:t>
            </w:r>
          </w:p>
        </w:tc>
      </w:tr>
      <w:tr w:rsidR="009D01C9" w:rsidRPr="00DB67E5" w14:paraId="350A6741" w14:textId="56404911" w:rsidTr="009D01C9">
        <w:tc>
          <w:tcPr>
            <w:tcW w:w="3312" w:type="dxa"/>
          </w:tcPr>
          <w:p w14:paraId="3F9C0E56" w14:textId="77777777" w:rsidR="009D01C9" w:rsidRPr="00D82997" w:rsidRDefault="009D01C9" w:rsidP="00221059">
            <w:pPr>
              <w:rPr>
                <w:rFonts w:ascii="Arial" w:hAnsi="Arial" w:cs="Arial"/>
                <w:sz w:val="20"/>
                <w:szCs w:val="20"/>
              </w:rPr>
            </w:pPr>
            <w:r w:rsidRPr="00D82997">
              <w:rPr>
                <w:rFonts w:ascii="Arial" w:hAnsi="Arial" w:cs="Arial"/>
                <w:sz w:val="20"/>
                <w:szCs w:val="20"/>
              </w:rPr>
              <w:t>Lifetime Rx stimulant misuse</w:t>
            </w:r>
          </w:p>
        </w:tc>
        <w:tc>
          <w:tcPr>
            <w:tcW w:w="1075" w:type="dxa"/>
            <w:vAlign w:val="center"/>
          </w:tcPr>
          <w:p w14:paraId="60DED2EE" w14:textId="77777777" w:rsidR="009D01C9" w:rsidRPr="003909E9" w:rsidRDefault="009D01C9" w:rsidP="009478E1">
            <w:pPr>
              <w:jc w:val="center"/>
              <w:rPr>
                <w:rFonts w:ascii="Arial" w:hAnsi="Arial" w:cs="Arial"/>
                <w:sz w:val="20"/>
                <w:szCs w:val="20"/>
              </w:rPr>
            </w:pPr>
            <w:r>
              <w:rPr>
                <w:rFonts w:ascii="Arial" w:hAnsi="Arial" w:cs="Arial"/>
                <w:sz w:val="20"/>
                <w:szCs w:val="20"/>
              </w:rPr>
              <w:t>7.8</w:t>
            </w:r>
          </w:p>
        </w:tc>
        <w:tc>
          <w:tcPr>
            <w:tcW w:w="1350" w:type="dxa"/>
            <w:shd w:val="clear" w:color="auto" w:fill="82F68A"/>
            <w:vAlign w:val="bottom"/>
          </w:tcPr>
          <w:p w14:paraId="5F4EDE8F" w14:textId="77777777" w:rsidR="009D01C9" w:rsidRPr="009B0E70" w:rsidRDefault="009D01C9" w:rsidP="009478E1">
            <w:pPr>
              <w:tabs>
                <w:tab w:val="decimal" w:pos="517"/>
              </w:tabs>
              <w:rPr>
                <w:rFonts w:ascii="Arial" w:hAnsi="Arial" w:cs="Arial"/>
                <w:color w:val="000000"/>
                <w:sz w:val="20"/>
                <w:szCs w:val="20"/>
              </w:rPr>
            </w:pPr>
            <w:r w:rsidRPr="009B0E70">
              <w:rPr>
                <w:rFonts w:ascii="Arial" w:hAnsi="Arial" w:cs="Arial"/>
                <w:color w:val="000000"/>
                <w:sz w:val="20"/>
                <w:szCs w:val="20"/>
              </w:rPr>
              <w:t>-15.3</w:t>
            </w:r>
          </w:p>
        </w:tc>
        <w:tc>
          <w:tcPr>
            <w:tcW w:w="1350" w:type="dxa"/>
            <w:vAlign w:val="bottom"/>
          </w:tcPr>
          <w:p w14:paraId="6FBCF594" w14:textId="77777777" w:rsidR="009D01C9" w:rsidRPr="00D82997" w:rsidRDefault="009D01C9" w:rsidP="009478E1">
            <w:pPr>
              <w:tabs>
                <w:tab w:val="decimal" w:pos="589"/>
              </w:tabs>
              <w:rPr>
                <w:rFonts w:ascii="Arial" w:hAnsi="Arial" w:cs="Arial"/>
                <w:color w:val="000000"/>
                <w:sz w:val="20"/>
                <w:szCs w:val="20"/>
              </w:rPr>
            </w:pPr>
            <w:r w:rsidRPr="00D82997">
              <w:rPr>
                <w:rFonts w:ascii="Arial" w:hAnsi="Arial" w:cs="Arial"/>
                <w:color w:val="000000"/>
                <w:sz w:val="20"/>
                <w:szCs w:val="20"/>
              </w:rPr>
              <w:t>-11.5</w:t>
            </w:r>
          </w:p>
        </w:tc>
        <w:tc>
          <w:tcPr>
            <w:tcW w:w="1440" w:type="dxa"/>
            <w:vAlign w:val="center"/>
          </w:tcPr>
          <w:p w14:paraId="3F26229B" w14:textId="77777777" w:rsidR="009D01C9" w:rsidRPr="00D82997" w:rsidRDefault="009D01C9" w:rsidP="009478E1">
            <w:pPr>
              <w:jc w:val="center"/>
              <w:rPr>
                <w:rFonts w:ascii="Arial" w:hAnsi="Arial" w:cs="Arial"/>
                <w:sz w:val="20"/>
                <w:szCs w:val="20"/>
              </w:rPr>
            </w:pPr>
            <w:r w:rsidRPr="00D82997">
              <w:rPr>
                <w:rFonts w:ascii="Arial" w:hAnsi="Arial" w:cs="Arial"/>
                <w:b/>
                <w:bCs/>
                <w:color w:val="00B050"/>
                <w:sz w:val="20"/>
                <w:szCs w:val="20"/>
              </w:rPr>
              <w:sym w:font="Wingdings" w:char="F0FC"/>
            </w:r>
          </w:p>
        </w:tc>
        <w:tc>
          <w:tcPr>
            <w:tcW w:w="1440" w:type="dxa"/>
            <w:vAlign w:val="center"/>
          </w:tcPr>
          <w:p w14:paraId="7B3FF653" w14:textId="17C29066" w:rsidR="009D01C9" w:rsidRPr="009D01C9" w:rsidRDefault="009D01C9" w:rsidP="009D01C9">
            <w:pPr>
              <w:jc w:val="center"/>
              <w:rPr>
                <w:rFonts w:ascii="Arial" w:hAnsi="Arial" w:cs="Arial"/>
                <w:bCs/>
                <w:color w:val="000000" w:themeColor="text1"/>
                <w:sz w:val="20"/>
                <w:szCs w:val="20"/>
              </w:rPr>
            </w:pPr>
            <w:r>
              <w:rPr>
                <w:rFonts w:ascii="Arial" w:hAnsi="Arial" w:cs="Arial"/>
                <w:bCs/>
                <w:color w:val="000000" w:themeColor="text1"/>
                <w:sz w:val="20"/>
                <w:szCs w:val="20"/>
              </w:rPr>
              <w:t>3</w:t>
            </w:r>
          </w:p>
        </w:tc>
      </w:tr>
      <w:tr w:rsidR="009D01C9" w:rsidRPr="00DB67E5" w14:paraId="0B3255D8" w14:textId="5FD9D698" w:rsidTr="009D01C9">
        <w:tc>
          <w:tcPr>
            <w:tcW w:w="3312" w:type="dxa"/>
          </w:tcPr>
          <w:p w14:paraId="6B28055F" w14:textId="77777777" w:rsidR="009D01C9" w:rsidRPr="00D82997" w:rsidRDefault="009D01C9" w:rsidP="00221059">
            <w:pPr>
              <w:rPr>
                <w:rFonts w:ascii="Arial" w:hAnsi="Arial" w:cs="Arial"/>
                <w:sz w:val="20"/>
                <w:szCs w:val="20"/>
              </w:rPr>
            </w:pPr>
            <w:r w:rsidRPr="00D82997">
              <w:rPr>
                <w:rFonts w:ascii="Arial" w:hAnsi="Arial" w:cs="Arial"/>
                <w:sz w:val="20"/>
                <w:szCs w:val="20"/>
              </w:rPr>
              <w:t>Current Rx pain reliever misuse</w:t>
            </w:r>
          </w:p>
        </w:tc>
        <w:tc>
          <w:tcPr>
            <w:tcW w:w="1075" w:type="dxa"/>
            <w:vAlign w:val="center"/>
          </w:tcPr>
          <w:p w14:paraId="796308C4" w14:textId="77777777" w:rsidR="009D01C9" w:rsidRPr="003909E9" w:rsidRDefault="009D01C9" w:rsidP="009478E1">
            <w:pPr>
              <w:jc w:val="center"/>
              <w:rPr>
                <w:rFonts w:ascii="Arial" w:hAnsi="Arial" w:cs="Arial"/>
                <w:sz w:val="20"/>
                <w:szCs w:val="20"/>
              </w:rPr>
            </w:pPr>
            <w:r>
              <w:rPr>
                <w:rFonts w:ascii="Arial" w:hAnsi="Arial" w:cs="Arial"/>
                <w:sz w:val="20"/>
                <w:szCs w:val="20"/>
              </w:rPr>
              <w:t>5.6</w:t>
            </w:r>
          </w:p>
        </w:tc>
        <w:tc>
          <w:tcPr>
            <w:tcW w:w="1350" w:type="dxa"/>
            <w:shd w:val="clear" w:color="auto" w:fill="82F68A"/>
            <w:vAlign w:val="bottom"/>
          </w:tcPr>
          <w:p w14:paraId="67543FC3" w14:textId="77777777" w:rsidR="009D01C9" w:rsidRPr="009B0E70" w:rsidRDefault="009D01C9" w:rsidP="009478E1">
            <w:pPr>
              <w:tabs>
                <w:tab w:val="decimal" w:pos="517"/>
              </w:tabs>
              <w:rPr>
                <w:rFonts w:ascii="Arial" w:hAnsi="Arial" w:cs="Arial"/>
                <w:color w:val="000000"/>
                <w:sz w:val="20"/>
                <w:szCs w:val="20"/>
              </w:rPr>
            </w:pPr>
            <w:r w:rsidRPr="009B0E70">
              <w:rPr>
                <w:rFonts w:ascii="Arial" w:hAnsi="Arial" w:cs="Arial"/>
                <w:color w:val="000000"/>
                <w:sz w:val="20"/>
                <w:szCs w:val="20"/>
              </w:rPr>
              <w:t>-41.5</w:t>
            </w:r>
          </w:p>
        </w:tc>
        <w:tc>
          <w:tcPr>
            <w:tcW w:w="1350" w:type="dxa"/>
            <w:vAlign w:val="bottom"/>
          </w:tcPr>
          <w:p w14:paraId="261EFFB9" w14:textId="77777777" w:rsidR="009D01C9" w:rsidRPr="00D82997" w:rsidRDefault="009D01C9" w:rsidP="009478E1">
            <w:pPr>
              <w:tabs>
                <w:tab w:val="decimal" w:pos="589"/>
              </w:tabs>
              <w:rPr>
                <w:rFonts w:ascii="Arial" w:hAnsi="Arial" w:cs="Arial"/>
                <w:color w:val="000000"/>
                <w:sz w:val="20"/>
                <w:szCs w:val="20"/>
              </w:rPr>
            </w:pPr>
            <w:r w:rsidRPr="00D82997">
              <w:rPr>
                <w:rFonts w:ascii="Arial" w:hAnsi="Arial" w:cs="Arial"/>
                <w:color w:val="000000"/>
                <w:sz w:val="20"/>
                <w:szCs w:val="20"/>
              </w:rPr>
              <w:t>-30.5</w:t>
            </w:r>
          </w:p>
        </w:tc>
        <w:tc>
          <w:tcPr>
            <w:tcW w:w="1440" w:type="dxa"/>
            <w:vAlign w:val="center"/>
          </w:tcPr>
          <w:p w14:paraId="0E45148E" w14:textId="77777777" w:rsidR="009D01C9" w:rsidRPr="00D82997" w:rsidRDefault="009D01C9" w:rsidP="009478E1">
            <w:pPr>
              <w:jc w:val="center"/>
              <w:rPr>
                <w:rFonts w:ascii="Arial" w:hAnsi="Arial" w:cs="Arial"/>
                <w:sz w:val="20"/>
                <w:szCs w:val="20"/>
              </w:rPr>
            </w:pPr>
            <w:r>
              <w:rPr>
                <w:rFonts w:ascii="Arial" w:hAnsi="Arial" w:cs="Arial"/>
                <w:b/>
                <w:bCs/>
                <w:color w:val="00B050"/>
                <w:sz w:val="20"/>
                <w:szCs w:val="20"/>
              </w:rPr>
              <w:t xml:space="preserve"> </w:t>
            </w:r>
            <w:r w:rsidRPr="00113ED7">
              <w:rPr>
                <w:rFonts w:ascii="Arial" w:hAnsi="Arial" w:cs="Arial"/>
                <w:b/>
                <w:bCs/>
                <w:color w:val="00B050"/>
                <w:sz w:val="20"/>
                <w:szCs w:val="20"/>
              </w:rPr>
              <w:sym w:font="Wingdings" w:char="F0FC"/>
            </w:r>
            <w:r w:rsidRPr="00113ED7">
              <w:rPr>
                <w:rFonts w:ascii="Arial" w:hAnsi="Arial" w:cs="Arial"/>
                <w:b/>
                <w:bCs/>
                <w:sz w:val="20"/>
                <w:szCs w:val="20"/>
              </w:rPr>
              <w:t>*</w:t>
            </w:r>
          </w:p>
        </w:tc>
        <w:tc>
          <w:tcPr>
            <w:tcW w:w="1440" w:type="dxa"/>
            <w:vAlign w:val="center"/>
          </w:tcPr>
          <w:p w14:paraId="430A7C94" w14:textId="1E2A49E9" w:rsidR="009D01C9" w:rsidRPr="009D01C9" w:rsidRDefault="009D01C9" w:rsidP="009D01C9">
            <w:pPr>
              <w:jc w:val="center"/>
              <w:rPr>
                <w:rFonts w:ascii="Arial" w:hAnsi="Arial" w:cs="Arial"/>
                <w:bCs/>
                <w:color w:val="000000" w:themeColor="text1"/>
                <w:sz w:val="20"/>
                <w:szCs w:val="20"/>
              </w:rPr>
            </w:pPr>
            <w:r>
              <w:rPr>
                <w:rFonts w:ascii="Arial" w:hAnsi="Arial" w:cs="Arial"/>
                <w:bCs/>
                <w:color w:val="000000" w:themeColor="text1"/>
                <w:sz w:val="20"/>
                <w:szCs w:val="20"/>
              </w:rPr>
              <w:t>4</w:t>
            </w:r>
          </w:p>
        </w:tc>
      </w:tr>
      <w:tr w:rsidR="009D01C9" w:rsidRPr="00DB67E5" w14:paraId="42EF3FA2" w14:textId="045A212C" w:rsidTr="009D01C9">
        <w:tc>
          <w:tcPr>
            <w:tcW w:w="3312" w:type="dxa"/>
          </w:tcPr>
          <w:p w14:paraId="2513F32C" w14:textId="77777777" w:rsidR="009D01C9" w:rsidRPr="00D82997" w:rsidRDefault="009D01C9" w:rsidP="00221059">
            <w:pPr>
              <w:rPr>
                <w:rFonts w:ascii="Arial" w:hAnsi="Arial" w:cs="Arial"/>
                <w:sz w:val="20"/>
                <w:szCs w:val="20"/>
              </w:rPr>
            </w:pPr>
            <w:r w:rsidRPr="00D82997">
              <w:rPr>
                <w:rFonts w:ascii="Arial" w:hAnsi="Arial" w:cs="Arial"/>
                <w:sz w:val="20"/>
                <w:szCs w:val="20"/>
              </w:rPr>
              <w:t>Current Rx stimulant misuse</w:t>
            </w:r>
          </w:p>
        </w:tc>
        <w:tc>
          <w:tcPr>
            <w:tcW w:w="1075" w:type="dxa"/>
            <w:vAlign w:val="center"/>
          </w:tcPr>
          <w:p w14:paraId="09649F34" w14:textId="77777777" w:rsidR="009D01C9" w:rsidRPr="003909E9" w:rsidRDefault="009D01C9" w:rsidP="009478E1">
            <w:pPr>
              <w:jc w:val="center"/>
              <w:rPr>
                <w:rFonts w:ascii="Arial" w:hAnsi="Arial" w:cs="Arial"/>
                <w:sz w:val="20"/>
                <w:szCs w:val="20"/>
              </w:rPr>
            </w:pPr>
            <w:r>
              <w:rPr>
                <w:rFonts w:ascii="Arial" w:hAnsi="Arial" w:cs="Arial"/>
                <w:sz w:val="20"/>
                <w:szCs w:val="20"/>
              </w:rPr>
              <w:t>4.0</w:t>
            </w:r>
          </w:p>
        </w:tc>
        <w:tc>
          <w:tcPr>
            <w:tcW w:w="1350" w:type="dxa"/>
            <w:shd w:val="clear" w:color="auto" w:fill="82F68A"/>
            <w:vAlign w:val="bottom"/>
          </w:tcPr>
          <w:p w14:paraId="743C348D" w14:textId="77777777" w:rsidR="009D01C9" w:rsidRPr="009B0E70" w:rsidRDefault="009D01C9" w:rsidP="009478E1">
            <w:pPr>
              <w:tabs>
                <w:tab w:val="decimal" w:pos="517"/>
              </w:tabs>
              <w:rPr>
                <w:rFonts w:ascii="Arial" w:hAnsi="Arial" w:cs="Arial"/>
                <w:color w:val="000000"/>
                <w:sz w:val="20"/>
                <w:szCs w:val="20"/>
              </w:rPr>
            </w:pPr>
            <w:r w:rsidRPr="009B0E70">
              <w:rPr>
                <w:rFonts w:ascii="Arial" w:hAnsi="Arial" w:cs="Arial"/>
                <w:color w:val="000000"/>
                <w:sz w:val="20"/>
                <w:szCs w:val="20"/>
              </w:rPr>
              <w:t>-29.2</w:t>
            </w:r>
          </w:p>
        </w:tc>
        <w:tc>
          <w:tcPr>
            <w:tcW w:w="1350" w:type="dxa"/>
            <w:vAlign w:val="bottom"/>
          </w:tcPr>
          <w:p w14:paraId="44B8FAEF" w14:textId="77777777" w:rsidR="009D01C9" w:rsidRPr="00D82997" w:rsidRDefault="009D01C9" w:rsidP="009478E1">
            <w:pPr>
              <w:tabs>
                <w:tab w:val="decimal" w:pos="589"/>
              </w:tabs>
              <w:rPr>
                <w:rFonts w:ascii="Arial" w:hAnsi="Arial" w:cs="Arial"/>
                <w:color w:val="000000"/>
                <w:sz w:val="20"/>
                <w:szCs w:val="20"/>
              </w:rPr>
            </w:pPr>
            <w:r w:rsidRPr="00D82997">
              <w:rPr>
                <w:rFonts w:ascii="Arial" w:hAnsi="Arial" w:cs="Arial"/>
                <w:color w:val="000000"/>
                <w:sz w:val="20"/>
                <w:szCs w:val="20"/>
              </w:rPr>
              <w:t>-27.9</w:t>
            </w:r>
          </w:p>
        </w:tc>
        <w:tc>
          <w:tcPr>
            <w:tcW w:w="1440" w:type="dxa"/>
            <w:vAlign w:val="center"/>
          </w:tcPr>
          <w:p w14:paraId="077F8A74" w14:textId="77777777" w:rsidR="009D01C9" w:rsidRPr="00D82997" w:rsidRDefault="009D01C9" w:rsidP="009478E1">
            <w:pPr>
              <w:jc w:val="center"/>
              <w:rPr>
                <w:rFonts w:ascii="Arial" w:hAnsi="Arial" w:cs="Arial"/>
                <w:sz w:val="20"/>
                <w:szCs w:val="20"/>
              </w:rPr>
            </w:pPr>
            <w:r w:rsidRPr="00D82997">
              <w:rPr>
                <w:rFonts w:ascii="Arial" w:hAnsi="Arial" w:cs="Arial"/>
                <w:b/>
                <w:bCs/>
                <w:color w:val="00B050"/>
                <w:sz w:val="20"/>
                <w:szCs w:val="20"/>
              </w:rPr>
              <w:sym w:font="Wingdings" w:char="F0FC"/>
            </w:r>
          </w:p>
        </w:tc>
        <w:tc>
          <w:tcPr>
            <w:tcW w:w="1440" w:type="dxa"/>
            <w:vAlign w:val="center"/>
          </w:tcPr>
          <w:p w14:paraId="10B73B93" w14:textId="5762339A" w:rsidR="009D01C9" w:rsidRPr="009D01C9" w:rsidRDefault="009D01C9" w:rsidP="009D01C9">
            <w:pPr>
              <w:jc w:val="center"/>
              <w:rPr>
                <w:rFonts w:ascii="Arial" w:hAnsi="Arial" w:cs="Arial"/>
                <w:bCs/>
                <w:color w:val="000000" w:themeColor="text1"/>
                <w:sz w:val="20"/>
                <w:szCs w:val="20"/>
              </w:rPr>
            </w:pPr>
            <w:r>
              <w:rPr>
                <w:rFonts w:ascii="Arial" w:hAnsi="Arial" w:cs="Arial"/>
                <w:bCs/>
                <w:color w:val="000000" w:themeColor="text1"/>
                <w:sz w:val="20"/>
                <w:szCs w:val="20"/>
              </w:rPr>
              <w:t>3</w:t>
            </w:r>
          </w:p>
        </w:tc>
      </w:tr>
      <w:tr w:rsidR="009D01C9" w:rsidRPr="00DB67E5" w14:paraId="51222734" w14:textId="60753EC8" w:rsidTr="009D01C9">
        <w:tc>
          <w:tcPr>
            <w:tcW w:w="3312" w:type="dxa"/>
            <w:shd w:val="clear" w:color="auto" w:fill="F2F2F2"/>
          </w:tcPr>
          <w:p w14:paraId="6F690C3B" w14:textId="77777777" w:rsidR="009D01C9" w:rsidRPr="00D82997" w:rsidRDefault="009D01C9" w:rsidP="009478E1">
            <w:pPr>
              <w:rPr>
                <w:rFonts w:ascii="Arial" w:hAnsi="Arial" w:cs="Arial"/>
                <w:sz w:val="20"/>
                <w:szCs w:val="20"/>
              </w:rPr>
            </w:pPr>
            <w:r w:rsidRPr="00D82997">
              <w:rPr>
                <w:rFonts w:ascii="Arial" w:hAnsi="Arial" w:cs="Arial"/>
                <w:sz w:val="20"/>
                <w:szCs w:val="20"/>
              </w:rPr>
              <w:t>Risk Factors</w:t>
            </w:r>
          </w:p>
        </w:tc>
        <w:tc>
          <w:tcPr>
            <w:tcW w:w="1075" w:type="dxa"/>
            <w:shd w:val="clear" w:color="auto" w:fill="F2F2F2"/>
            <w:vAlign w:val="center"/>
          </w:tcPr>
          <w:p w14:paraId="2C07203B" w14:textId="77777777" w:rsidR="009D01C9" w:rsidRPr="003909E9" w:rsidRDefault="009D01C9" w:rsidP="009478E1">
            <w:pPr>
              <w:jc w:val="center"/>
              <w:rPr>
                <w:rFonts w:ascii="Arial" w:hAnsi="Arial" w:cs="Arial"/>
                <w:sz w:val="20"/>
                <w:szCs w:val="20"/>
              </w:rPr>
            </w:pPr>
          </w:p>
        </w:tc>
        <w:tc>
          <w:tcPr>
            <w:tcW w:w="1350" w:type="dxa"/>
            <w:tcBorders>
              <w:bottom w:val="single" w:sz="4" w:space="0" w:color="auto"/>
            </w:tcBorders>
            <w:shd w:val="clear" w:color="auto" w:fill="F2F2F2"/>
            <w:vAlign w:val="center"/>
          </w:tcPr>
          <w:p w14:paraId="286C4762" w14:textId="77777777" w:rsidR="009D01C9" w:rsidRPr="009B0E70" w:rsidRDefault="009D01C9" w:rsidP="009478E1">
            <w:pPr>
              <w:jc w:val="center"/>
              <w:rPr>
                <w:rFonts w:ascii="Arial" w:hAnsi="Arial" w:cs="Arial"/>
                <w:sz w:val="20"/>
                <w:szCs w:val="20"/>
              </w:rPr>
            </w:pPr>
          </w:p>
        </w:tc>
        <w:tc>
          <w:tcPr>
            <w:tcW w:w="1350" w:type="dxa"/>
            <w:shd w:val="clear" w:color="auto" w:fill="F2F2F2"/>
            <w:vAlign w:val="center"/>
          </w:tcPr>
          <w:p w14:paraId="5CFB4D2C" w14:textId="77777777" w:rsidR="009D01C9" w:rsidRPr="00D82997" w:rsidRDefault="009D01C9" w:rsidP="009478E1">
            <w:pPr>
              <w:jc w:val="center"/>
              <w:rPr>
                <w:rFonts w:ascii="Arial" w:hAnsi="Arial" w:cs="Arial"/>
                <w:sz w:val="20"/>
                <w:szCs w:val="20"/>
              </w:rPr>
            </w:pPr>
          </w:p>
        </w:tc>
        <w:tc>
          <w:tcPr>
            <w:tcW w:w="1440" w:type="dxa"/>
            <w:shd w:val="clear" w:color="auto" w:fill="F2F2F2"/>
            <w:vAlign w:val="center"/>
          </w:tcPr>
          <w:p w14:paraId="2FCC7145" w14:textId="77777777" w:rsidR="009D01C9" w:rsidRPr="00D82997" w:rsidRDefault="009D01C9" w:rsidP="009478E1">
            <w:pPr>
              <w:jc w:val="center"/>
              <w:rPr>
                <w:rFonts w:ascii="Arial" w:hAnsi="Arial" w:cs="Arial"/>
                <w:sz w:val="20"/>
                <w:szCs w:val="20"/>
              </w:rPr>
            </w:pPr>
          </w:p>
        </w:tc>
        <w:tc>
          <w:tcPr>
            <w:tcW w:w="1440" w:type="dxa"/>
            <w:shd w:val="clear" w:color="auto" w:fill="F2F2F2"/>
            <w:vAlign w:val="center"/>
          </w:tcPr>
          <w:p w14:paraId="0CF66A55" w14:textId="77777777" w:rsidR="009D01C9" w:rsidRPr="009D01C9" w:rsidRDefault="009D01C9" w:rsidP="009D01C9">
            <w:pPr>
              <w:jc w:val="center"/>
              <w:rPr>
                <w:rFonts w:ascii="Arial" w:hAnsi="Arial" w:cs="Arial"/>
                <w:color w:val="000000" w:themeColor="text1"/>
                <w:sz w:val="20"/>
                <w:szCs w:val="20"/>
              </w:rPr>
            </w:pPr>
          </w:p>
        </w:tc>
      </w:tr>
      <w:tr w:rsidR="009D01C9" w:rsidRPr="00DB67E5" w14:paraId="4670251A" w14:textId="6459F307" w:rsidTr="009D01C9">
        <w:tc>
          <w:tcPr>
            <w:tcW w:w="3312" w:type="dxa"/>
          </w:tcPr>
          <w:p w14:paraId="2646C624" w14:textId="6A7F75F9" w:rsidR="009D01C9" w:rsidRPr="00D82997" w:rsidRDefault="009D01C9" w:rsidP="00221059">
            <w:pPr>
              <w:rPr>
                <w:rFonts w:ascii="Arial" w:hAnsi="Arial" w:cs="Arial"/>
                <w:color w:val="000000"/>
                <w:sz w:val="20"/>
                <w:szCs w:val="20"/>
              </w:rPr>
            </w:pPr>
            <w:r w:rsidRPr="00D82997">
              <w:rPr>
                <w:rFonts w:ascii="Arial" w:hAnsi="Arial" w:cs="Arial"/>
                <w:color w:val="000000"/>
                <w:sz w:val="20"/>
                <w:szCs w:val="20"/>
              </w:rPr>
              <w:t>Obtaining alcohol perceived to be sort of easy or very easy</w:t>
            </w:r>
          </w:p>
        </w:tc>
        <w:tc>
          <w:tcPr>
            <w:tcW w:w="1075" w:type="dxa"/>
            <w:vAlign w:val="center"/>
          </w:tcPr>
          <w:p w14:paraId="042C1B2A" w14:textId="77777777" w:rsidR="009D01C9" w:rsidRPr="003909E9" w:rsidRDefault="009D01C9" w:rsidP="009478E1">
            <w:pPr>
              <w:ind w:left="216" w:hanging="216"/>
              <w:jc w:val="center"/>
              <w:rPr>
                <w:rFonts w:ascii="Arial" w:hAnsi="Arial" w:cs="Arial"/>
                <w:color w:val="000000"/>
                <w:sz w:val="20"/>
                <w:szCs w:val="20"/>
              </w:rPr>
            </w:pPr>
            <w:r>
              <w:rPr>
                <w:rFonts w:ascii="Arial" w:hAnsi="Arial" w:cs="Arial"/>
                <w:color w:val="000000"/>
                <w:sz w:val="20"/>
                <w:szCs w:val="20"/>
              </w:rPr>
              <w:t>72.7</w:t>
            </w:r>
          </w:p>
        </w:tc>
        <w:tc>
          <w:tcPr>
            <w:tcW w:w="1350" w:type="dxa"/>
            <w:shd w:val="clear" w:color="auto" w:fill="82F68A"/>
            <w:vAlign w:val="center"/>
          </w:tcPr>
          <w:p w14:paraId="2B1AC3B2" w14:textId="77777777" w:rsidR="009D01C9" w:rsidRPr="009B0E70" w:rsidRDefault="009D01C9" w:rsidP="009478E1">
            <w:pPr>
              <w:tabs>
                <w:tab w:val="decimal" w:pos="517"/>
              </w:tabs>
              <w:rPr>
                <w:rFonts w:ascii="Arial" w:hAnsi="Arial" w:cs="Arial"/>
                <w:color w:val="000000"/>
                <w:sz w:val="20"/>
                <w:szCs w:val="20"/>
              </w:rPr>
            </w:pPr>
            <w:r w:rsidRPr="009B0E70">
              <w:rPr>
                <w:rFonts w:ascii="Arial" w:hAnsi="Arial" w:cs="Arial"/>
                <w:color w:val="000000"/>
                <w:sz w:val="20"/>
                <w:szCs w:val="20"/>
              </w:rPr>
              <w:t>-4.4</w:t>
            </w:r>
          </w:p>
        </w:tc>
        <w:tc>
          <w:tcPr>
            <w:tcW w:w="1350" w:type="dxa"/>
            <w:vAlign w:val="center"/>
          </w:tcPr>
          <w:p w14:paraId="3CD2484D" w14:textId="77777777" w:rsidR="009D01C9" w:rsidRPr="00D82997" w:rsidRDefault="009D01C9" w:rsidP="009478E1">
            <w:pPr>
              <w:tabs>
                <w:tab w:val="decimal" w:pos="589"/>
              </w:tabs>
              <w:rPr>
                <w:rFonts w:ascii="Arial" w:hAnsi="Arial" w:cs="Arial"/>
                <w:color w:val="000000"/>
                <w:sz w:val="20"/>
                <w:szCs w:val="20"/>
              </w:rPr>
            </w:pPr>
            <w:r w:rsidRPr="00D82997">
              <w:rPr>
                <w:rFonts w:ascii="Arial" w:hAnsi="Arial" w:cs="Arial"/>
                <w:color w:val="000000"/>
                <w:sz w:val="20"/>
                <w:szCs w:val="20"/>
              </w:rPr>
              <w:t>-2.0</w:t>
            </w:r>
          </w:p>
        </w:tc>
        <w:tc>
          <w:tcPr>
            <w:tcW w:w="1440" w:type="dxa"/>
            <w:vAlign w:val="center"/>
          </w:tcPr>
          <w:p w14:paraId="6A2C7422" w14:textId="77777777" w:rsidR="009D01C9" w:rsidRPr="00D82997" w:rsidRDefault="009D01C9" w:rsidP="009478E1">
            <w:pPr>
              <w:jc w:val="center"/>
              <w:rPr>
                <w:rFonts w:ascii="Arial" w:hAnsi="Arial" w:cs="Arial"/>
                <w:sz w:val="20"/>
                <w:szCs w:val="20"/>
              </w:rPr>
            </w:pPr>
            <w:r>
              <w:rPr>
                <w:rFonts w:ascii="Arial" w:hAnsi="Arial" w:cs="Arial"/>
                <w:b/>
                <w:bCs/>
                <w:color w:val="00B050"/>
                <w:sz w:val="20"/>
                <w:szCs w:val="20"/>
              </w:rPr>
              <w:t xml:space="preserve"> </w:t>
            </w:r>
            <w:r w:rsidRPr="00D82997">
              <w:rPr>
                <w:rFonts w:ascii="Arial" w:hAnsi="Arial" w:cs="Arial"/>
                <w:b/>
                <w:bCs/>
                <w:color w:val="00B050"/>
                <w:sz w:val="20"/>
                <w:szCs w:val="20"/>
              </w:rPr>
              <w:sym w:font="Wingdings" w:char="F0FC"/>
            </w:r>
            <w:r w:rsidRPr="00090441">
              <w:rPr>
                <w:rFonts w:ascii="Arial" w:hAnsi="Arial" w:cs="Arial"/>
                <w:b/>
                <w:bCs/>
                <w:sz w:val="20"/>
                <w:szCs w:val="20"/>
              </w:rPr>
              <w:t>*</w:t>
            </w:r>
          </w:p>
        </w:tc>
        <w:tc>
          <w:tcPr>
            <w:tcW w:w="1440" w:type="dxa"/>
            <w:vAlign w:val="center"/>
          </w:tcPr>
          <w:p w14:paraId="69CD3D90" w14:textId="6D62917B" w:rsidR="009D01C9" w:rsidRPr="009D01C9" w:rsidRDefault="009D01C9" w:rsidP="009D01C9">
            <w:pPr>
              <w:jc w:val="center"/>
              <w:rPr>
                <w:rFonts w:ascii="Arial" w:hAnsi="Arial" w:cs="Arial"/>
                <w:bCs/>
                <w:color w:val="000000" w:themeColor="text1"/>
                <w:sz w:val="20"/>
                <w:szCs w:val="20"/>
              </w:rPr>
            </w:pPr>
            <w:r>
              <w:rPr>
                <w:rFonts w:ascii="Arial" w:hAnsi="Arial" w:cs="Arial"/>
                <w:bCs/>
                <w:color w:val="000000" w:themeColor="text1"/>
                <w:sz w:val="20"/>
                <w:szCs w:val="20"/>
              </w:rPr>
              <w:t>6</w:t>
            </w:r>
          </w:p>
        </w:tc>
      </w:tr>
      <w:tr w:rsidR="009D01C9" w:rsidRPr="00DB67E5" w14:paraId="5F692182" w14:textId="01BFBE58" w:rsidTr="009D01C9">
        <w:tc>
          <w:tcPr>
            <w:tcW w:w="3312" w:type="dxa"/>
          </w:tcPr>
          <w:p w14:paraId="574C2DBC" w14:textId="6D5B3FBF" w:rsidR="009D01C9" w:rsidRPr="00D82997" w:rsidRDefault="009D01C9" w:rsidP="00221059">
            <w:pPr>
              <w:rPr>
                <w:rFonts w:ascii="Arial" w:hAnsi="Arial" w:cs="Arial"/>
                <w:color w:val="000000"/>
                <w:sz w:val="20"/>
                <w:szCs w:val="20"/>
              </w:rPr>
            </w:pPr>
            <w:r w:rsidRPr="00D82997">
              <w:rPr>
                <w:rFonts w:ascii="Arial" w:hAnsi="Arial" w:cs="Arial"/>
                <w:color w:val="000000"/>
                <w:sz w:val="20"/>
                <w:szCs w:val="20"/>
              </w:rPr>
              <w:t xml:space="preserve">Drinking alcohol perceived to be a little bit </w:t>
            </w:r>
            <w:r w:rsidR="002A180D">
              <w:rPr>
                <w:rFonts w:ascii="Arial" w:hAnsi="Arial" w:cs="Arial"/>
                <w:color w:val="000000"/>
                <w:sz w:val="20"/>
                <w:szCs w:val="20"/>
              </w:rPr>
              <w:t xml:space="preserve">wrong </w:t>
            </w:r>
            <w:r w:rsidRPr="00D82997">
              <w:rPr>
                <w:rFonts w:ascii="Arial" w:hAnsi="Arial" w:cs="Arial"/>
                <w:color w:val="000000"/>
                <w:sz w:val="20"/>
                <w:szCs w:val="20"/>
              </w:rPr>
              <w:t>or not at all wrong</w:t>
            </w:r>
          </w:p>
        </w:tc>
        <w:tc>
          <w:tcPr>
            <w:tcW w:w="1075" w:type="dxa"/>
            <w:vAlign w:val="center"/>
          </w:tcPr>
          <w:p w14:paraId="20837697" w14:textId="77777777" w:rsidR="009D01C9" w:rsidRPr="003909E9" w:rsidRDefault="009D01C9" w:rsidP="009478E1">
            <w:pPr>
              <w:ind w:left="216" w:hanging="216"/>
              <w:jc w:val="center"/>
              <w:rPr>
                <w:rFonts w:ascii="Arial" w:hAnsi="Arial" w:cs="Arial"/>
                <w:color w:val="000000"/>
                <w:sz w:val="20"/>
                <w:szCs w:val="20"/>
              </w:rPr>
            </w:pPr>
            <w:r>
              <w:rPr>
                <w:rFonts w:ascii="Arial" w:hAnsi="Arial" w:cs="Arial"/>
                <w:color w:val="000000"/>
                <w:sz w:val="20"/>
                <w:szCs w:val="20"/>
              </w:rPr>
              <w:t>50.5</w:t>
            </w:r>
          </w:p>
        </w:tc>
        <w:tc>
          <w:tcPr>
            <w:tcW w:w="1350" w:type="dxa"/>
            <w:shd w:val="clear" w:color="auto" w:fill="82F68A"/>
            <w:vAlign w:val="center"/>
          </w:tcPr>
          <w:p w14:paraId="6E694AE8" w14:textId="77777777" w:rsidR="009D01C9" w:rsidRPr="009B0E70" w:rsidRDefault="009D01C9" w:rsidP="009478E1">
            <w:pPr>
              <w:tabs>
                <w:tab w:val="decimal" w:pos="517"/>
              </w:tabs>
              <w:rPr>
                <w:rFonts w:ascii="Arial" w:hAnsi="Arial" w:cs="Arial"/>
                <w:color w:val="000000"/>
                <w:sz w:val="20"/>
                <w:szCs w:val="20"/>
              </w:rPr>
            </w:pPr>
            <w:r w:rsidRPr="009B0E70">
              <w:rPr>
                <w:rFonts w:ascii="Arial" w:hAnsi="Arial" w:cs="Arial"/>
                <w:color w:val="000000"/>
                <w:sz w:val="20"/>
                <w:szCs w:val="20"/>
              </w:rPr>
              <w:t>-9.8</w:t>
            </w:r>
          </w:p>
        </w:tc>
        <w:tc>
          <w:tcPr>
            <w:tcW w:w="1350" w:type="dxa"/>
            <w:vAlign w:val="center"/>
          </w:tcPr>
          <w:p w14:paraId="586B8E21" w14:textId="77777777" w:rsidR="009D01C9" w:rsidRPr="00D82997" w:rsidRDefault="009D01C9" w:rsidP="009478E1">
            <w:pPr>
              <w:tabs>
                <w:tab w:val="decimal" w:pos="589"/>
              </w:tabs>
              <w:rPr>
                <w:rFonts w:ascii="Arial" w:hAnsi="Arial" w:cs="Arial"/>
                <w:color w:val="000000"/>
                <w:sz w:val="20"/>
                <w:szCs w:val="20"/>
              </w:rPr>
            </w:pPr>
            <w:r w:rsidRPr="00D82997">
              <w:rPr>
                <w:rFonts w:ascii="Arial" w:hAnsi="Arial" w:cs="Arial"/>
                <w:color w:val="000000"/>
                <w:sz w:val="20"/>
                <w:szCs w:val="20"/>
              </w:rPr>
              <w:t>-6.6</w:t>
            </w:r>
          </w:p>
        </w:tc>
        <w:tc>
          <w:tcPr>
            <w:tcW w:w="1440" w:type="dxa"/>
            <w:vAlign w:val="center"/>
          </w:tcPr>
          <w:p w14:paraId="31387EE7" w14:textId="77777777" w:rsidR="009D01C9" w:rsidRPr="00D82997" w:rsidRDefault="009D01C9" w:rsidP="009478E1">
            <w:pPr>
              <w:jc w:val="center"/>
              <w:rPr>
                <w:rFonts w:ascii="Arial" w:hAnsi="Arial" w:cs="Arial"/>
                <w:sz w:val="20"/>
                <w:szCs w:val="20"/>
              </w:rPr>
            </w:pPr>
            <w:r w:rsidRPr="00D82997">
              <w:rPr>
                <w:rFonts w:ascii="Arial" w:hAnsi="Arial" w:cs="Arial"/>
                <w:b/>
                <w:bCs/>
                <w:color w:val="00B050"/>
                <w:sz w:val="20"/>
                <w:szCs w:val="20"/>
              </w:rPr>
              <w:sym w:font="Wingdings" w:char="F0FC"/>
            </w:r>
          </w:p>
        </w:tc>
        <w:tc>
          <w:tcPr>
            <w:tcW w:w="1440" w:type="dxa"/>
            <w:vAlign w:val="center"/>
          </w:tcPr>
          <w:p w14:paraId="33F5E134" w14:textId="79740328" w:rsidR="009D01C9" w:rsidRPr="009D01C9" w:rsidRDefault="009D01C9" w:rsidP="009D01C9">
            <w:pPr>
              <w:jc w:val="center"/>
              <w:rPr>
                <w:rFonts w:ascii="Arial" w:hAnsi="Arial" w:cs="Arial"/>
                <w:bCs/>
                <w:color w:val="000000" w:themeColor="text1"/>
                <w:sz w:val="20"/>
                <w:szCs w:val="20"/>
              </w:rPr>
            </w:pPr>
            <w:r>
              <w:rPr>
                <w:rFonts w:ascii="Arial" w:hAnsi="Arial" w:cs="Arial"/>
                <w:bCs/>
                <w:color w:val="000000" w:themeColor="text1"/>
                <w:sz w:val="20"/>
                <w:szCs w:val="20"/>
              </w:rPr>
              <w:t>6</w:t>
            </w:r>
          </w:p>
        </w:tc>
      </w:tr>
      <w:tr w:rsidR="009D01C9" w:rsidRPr="00DB67E5" w14:paraId="6B82B5F5" w14:textId="7ACD5A50" w:rsidTr="009D01C9">
        <w:tc>
          <w:tcPr>
            <w:tcW w:w="3312" w:type="dxa"/>
          </w:tcPr>
          <w:p w14:paraId="5F375DE7" w14:textId="65DB5280" w:rsidR="009D01C9" w:rsidRPr="002A180D" w:rsidRDefault="00221059" w:rsidP="00221059">
            <w:pPr>
              <w:rPr>
                <w:rFonts w:ascii="Arial" w:hAnsi="Arial" w:cs="Arial"/>
                <w:color w:val="000000"/>
                <w:sz w:val="20"/>
                <w:szCs w:val="20"/>
                <w:vertAlign w:val="superscript"/>
              </w:rPr>
            </w:pPr>
            <w:r w:rsidRPr="002A180D">
              <w:rPr>
                <w:rFonts w:ascii="Arial" w:hAnsi="Arial" w:cs="Arial"/>
                <w:color w:val="000000"/>
                <w:sz w:val="20"/>
                <w:szCs w:val="20"/>
              </w:rPr>
              <w:t xml:space="preserve">Perception that parents feel alcohol use by child is a little bit </w:t>
            </w:r>
            <w:r w:rsidR="002A180D" w:rsidRPr="002A180D">
              <w:rPr>
                <w:rFonts w:ascii="Arial" w:hAnsi="Arial" w:cs="Arial"/>
                <w:color w:val="000000"/>
                <w:sz w:val="20"/>
                <w:szCs w:val="20"/>
              </w:rPr>
              <w:t xml:space="preserve">wrong </w:t>
            </w:r>
            <w:r w:rsidRPr="002A180D">
              <w:rPr>
                <w:rFonts w:ascii="Arial" w:hAnsi="Arial" w:cs="Arial"/>
                <w:color w:val="000000"/>
                <w:sz w:val="20"/>
                <w:szCs w:val="20"/>
              </w:rPr>
              <w:t xml:space="preserve">or not </w:t>
            </w:r>
            <w:r w:rsidR="002A180D" w:rsidRPr="002A180D">
              <w:rPr>
                <w:rFonts w:ascii="Arial" w:hAnsi="Arial" w:cs="Arial"/>
                <w:color w:val="000000"/>
                <w:sz w:val="20"/>
                <w:szCs w:val="20"/>
              </w:rPr>
              <w:t>at all wrong</w:t>
            </w:r>
            <w:r w:rsidR="002A180D" w:rsidRPr="002A180D">
              <w:rPr>
                <w:rFonts w:ascii="Arial" w:hAnsi="Arial" w:cs="Arial"/>
                <w:color w:val="000000"/>
                <w:sz w:val="20"/>
                <w:szCs w:val="20"/>
                <w:vertAlign w:val="superscript"/>
              </w:rPr>
              <w:t>6</w:t>
            </w:r>
          </w:p>
        </w:tc>
        <w:tc>
          <w:tcPr>
            <w:tcW w:w="1075" w:type="dxa"/>
            <w:vAlign w:val="center"/>
          </w:tcPr>
          <w:p w14:paraId="6A1A5369" w14:textId="77777777" w:rsidR="009D01C9" w:rsidRPr="003909E9" w:rsidRDefault="009D01C9" w:rsidP="009478E1">
            <w:pPr>
              <w:ind w:left="216" w:hanging="216"/>
              <w:jc w:val="center"/>
              <w:rPr>
                <w:rFonts w:ascii="Arial" w:hAnsi="Arial" w:cs="Arial"/>
                <w:color w:val="000000"/>
                <w:sz w:val="20"/>
                <w:szCs w:val="20"/>
              </w:rPr>
            </w:pPr>
            <w:r>
              <w:rPr>
                <w:rFonts w:ascii="Arial" w:hAnsi="Arial" w:cs="Arial"/>
                <w:color w:val="000000"/>
                <w:sz w:val="20"/>
                <w:szCs w:val="20"/>
              </w:rPr>
              <w:t>25.2</w:t>
            </w:r>
          </w:p>
        </w:tc>
        <w:tc>
          <w:tcPr>
            <w:tcW w:w="1350" w:type="dxa"/>
            <w:tcBorders>
              <w:bottom w:val="single" w:sz="4" w:space="0" w:color="auto"/>
            </w:tcBorders>
            <w:vAlign w:val="center"/>
          </w:tcPr>
          <w:p w14:paraId="0EFEE3F3" w14:textId="77777777" w:rsidR="009D01C9" w:rsidRPr="009B0E70" w:rsidRDefault="009D01C9" w:rsidP="009478E1">
            <w:pPr>
              <w:tabs>
                <w:tab w:val="decimal" w:pos="517"/>
              </w:tabs>
              <w:rPr>
                <w:rFonts w:ascii="Arial" w:hAnsi="Arial" w:cs="Arial"/>
                <w:color w:val="000000"/>
                <w:sz w:val="20"/>
                <w:szCs w:val="20"/>
              </w:rPr>
            </w:pPr>
            <w:r w:rsidRPr="009B0E70">
              <w:rPr>
                <w:rFonts w:ascii="Arial" w:hAnsi="Arial" w:cs="Arial"/>
                <w:color w:val="000000"/>
                <w:sz w:val="20"/>
                <w:szCs w:val="20"/>
              </w:rPr>
              <w:t>5.1</w:t>
            </w:r>
          </w:p>
        </w:tc>
        <w:tc>
          <w:tcPr>
            <w:tcW w:w="1350" w:type="dxa"/>
            <w:vAlign w:val="center"/>
          </w:tcPr>
          <w:p w14:paraId="637B9DF8" w14:textId="77777777" w:rsidR="009D01C9" w:rsidRPr="00D82997" w:rsidRDefault="009D01C9" w:rsidP="009478E1">
            <w:pPr>
              <w:tabs>
                <w:tab w:val="decimal" w:pos="589"/>
              </w:tabs>
              <w:rPr>
                <w:rFonts w:ascii="Arial" w:hAnsi="Arial" w:cs="Arial"/>
                <w:color w:val="000000"/>
                <w:sz w:val="20"/>
                <w:szCs w:val="20"/>
              </w:rPr>
            </w:pPr>
            <w:r w:rsidRPr="00D82997">
              <w:rPr>
                <w:rFonts w:ascii="Arial" w:hAnsi="Arial" w:cs="Arial"/>
                <w:color w:val="000000"/>
                <w:sz w:val="20"/>
                <w:szCs w:val="20"/>
              </w:rPr>
              <w:t>6.2</w:t>
            </w:r>
          </w:p>
        </w:tc>
        <w:tc>
          <w:tcPr>
            <w:tcW w:w="1440" w:type="dxa"/>
            <w:vAlign w:val="center"/>
          </w:tcPr>
          <w:p w14:paraId="186811E1" w14:textId="77777777" w:rsidR="009D01C9" w:rsidRPr="00D82997" w:rsidRDefault="009D01C9" w:rsidP="009478E1">
            <w:pPr>
              <w:jc w:val="center"/>
              <w:rPr>
                <w:rFonts w:ascii="Arial" w:hAnsi="Arial" w:cs="Arial"/>
                <w:sz w:val="20"/>
                <w:szCs w:val="20"/>
              </w:rPr>
            </w:pPr>
            <w:r w:rsidRPr="00D82997">
              <w:rPr>
                <w:rFonts w:ascii="Arial" w:hAnsi="Arial" w:cs="Arial"/>
                <w:b/>
                <w:bCs/>
                <w:color w:val="00B050"/>
                <w:sz w:val="20"/>
                <w:szCs w:val="20"/>
              </w:rPr>
              <w:sym w:font="Wingdings" w:char="F0FC"/>
            </w:r>
          </w:p>
        </w:tc>
        <w:tc>
          <w:tcPr>
            <w:tcW w:w="1440" w:type="dxa"/>
            <w:vAlign w:val="center"/>
          </w:tcPr>
          <w:p w14:paraId="330E986A" w14:textId="72AA0FE3" w:rsidR="009D01C9" w:rsidRPr="009D01C9" w:rsidRDefault="009D01C9" w:rsidP="009D01C9">
            <w:pPr>
              <w:jc w:val="center"/>
              <w:rPr>
                <w:rFonts w:ascii="Arial" w:hAnsi="Arial" w:cs="Arial"/>
                <w:bCs/>
                <w:color w:val="000000" w:themeColor="text1"/>
                <w:sz w:val="20"/>
                <w:szCs w:val="20"/>
              </w:rPr>
            </w:pPr>
            <w:r>
              <w:rPr>
                <w:rFonts w:ascii="Arial" w:hAnsi="Arial" w:cs="Arial"/>
                <w:bCs/>
                <w:color w:val="000000" w:themeColor="text1"/>
                <w:sz w:val="20"/>
                <w:szCs w:val="20"/>
              </w:rPr>
              <w:t>3</w:t>
            </w:r>
          </w:p>
        </w:tc>
      </w:tr>
      <w:tr w:rsidR="009D01C9" w:rsidRPr="00DB67E5" w14:paraId="15A26A4F" w14:textId="51F9DCF8" w:rsidTr="009D01C9">
        <w:tc>
          <w:tcPr>
            <w:tcW w:w="3312" w:type="dxa"/>
          </w:tcPr>
          <w:p w14:paraId="108B7450" w14:textId="3A5859F2" w:rsidR="009D01C9" w:rsidRPr="00D82997" w:rsidRDefault="009D01C9" w:rsidP="00221059">
            <w:pPr>
              <w:rPr>
                <w:rFonts w:ascii="Arial" w:hAnsi="Arial" w:cs="Arial"/>
                <w:color w:val="000000"/>
                <w:sz w:val="20"/>
                <w:szCs w:val="20"/>
              </w:rPr>
            </w:pPr>
            <w:r w:rsidRPr="00D82997">
              <w:rPr>
                <w:rFonts w:ascii="Arial" w:hAnsi="Arial" w:cs="Arial"/>
                <w:color w:val="000000"/>
                <w:sz w:val="20"/>
                <w:szCs w:val="20"/>
              </w:rPr>
              <w:t>Risk of harm from binge drinking perceived to be no</w:t>
            </w:r>
            <w:r>
              <w:rPr>
                <w:rFonts w:ascii="Arial" w:hAnsi="Arial" w:cs="Arial"/>
                <w:color w:val="000000"/>
                <w:sz w:val="20"/>
                <w:szCs w:val="20"/>
              </w:rPr>
              <w:t>ne or slight</w:t>
            </w:r>
          </w:p>
        </w:tc>
        <w:tc>
          <w:tcPr>
            <w:tcW w:w="1075" w:type="dxa"/>
            <w:vAlign w:val="center"/>
          </w:tcPr>
          <w:p w14:paraId="50F9E1BA" w14:textId="77777777" w:rsidR="009D01C9" w:rsidRPr="003909E9" w:rsidRDefault="009D01C9" w:rsidP="009478E1">
            <w:pPr>
              <w:ind w:left="216" w:hanging="216"/>
              <w:jc w:val="center"/>
              <w:rPr>
                <w:rFonts w:ascii="Arial" w:hAnsi="Arial" w:cs="Arial"/>
                <w:color w:val="000000"/>
                <w:sz w:val="20"/>
                <w:szCs w:val="20"/>
              </w:rPr>
            </w:pPr>
            <w:r>
              <w:rPr>
                <w:rFonts w:ascii="Arial" w:hAnsi="Arial" w:cs="Arial"/>
                <w:color w:val="000000"/>
                <w:sz w:val="20"/>
                <w:szCs w:val="20"/>
              </w:rPr>
              <w:t>25.1</w:t>
            </w:r>
          </w:p>
        </w:tc>
        <w:tc>
          <w:tcPr>
            <w:tcW w:w="1350" w:type="dxa"/>
            <w:shd w:val="clear" w:color="auto" w:fill="82F68A"/>
            <w:vAlign w:val="center"/>
          </w:tcPr>
          <w:p w14:paraId="1D556D0C" w14:textId="77777777" w:rsidR="009D01C9" w:rsidRPr="009B0E70" w:rsidRDefault="009D01C9" w:rsidP="009478E1">
            <w:pPr>
              <w:tabs>
                <w:tab w:val="decimal" w:pos="517"/>
              </w:tabs>
              <w:rPr>
                <w:rFonts w:ascii="Arial" w:hAnsi="Arial" w:cs="Arial"/>
                <w:color w:val="000000"/>
                <w:sz w:val="20"/>
                <w:szCs w:val="20"/>
              </w:rPr>
            </w:pPr>
            <w:r w:rsidRPr="009B0E70">
              <w:rPr>
                <w:rFonts w:ascii="Arial" w:hAnsi="Arial" w:cs="Arial"/>
                <w:color w:val="000000"/>
                <w:sz w:val="20"/>
                <w:szCs w:val="20"/>
              </w:rPr>
              <w:t>-5.8</w:t>
            </w:r>
          </w:p>
        </w:tc>
        <w:tc>
          <w:tcPr>
            <w:tcW w:w="1350" w:type="dxa"/>
            <w:vAlign w:val="center"/>
          </w:tcPr>
          <w:p w14:paraId="71451BFB" w14:textId="77777777" w:rsidR="009D01C9" w:rsidRPr="00D82997" w:rsidRDefault="009D01C9" w:rsidP="009478E1">
            <w:pPr>
              <w:tabs>
                <w:tab w:val="decimal" w:pos="589"/>
              </w:tabs>
              <w:rPr>
                <w:rFonts w:ascii="Arial" w:hAnsi="Arial" w:cs="Arial"/>
                <w:color w:val="000000"/>
                <w:sz w:val="20"/>
                <w:szCs w:val="20"/>
              </w:rPr>
            </w:pPr>
            <w:r w:rsidRPr="00D82997">
              <w:rPr>
                <w:rFonts w:ascii="Arial" w:hAnsi="Arial" w:cs="Arial"/>
                <w:color w:val="000000"/>
                <w:sz w:val="20"/>
                <w:szCs w:val="20"/>
              </w:rPr>
              <w:t>-3.4</w:t>
            </w:r>
          </w:p>
        </w:tc>
        <w:tc>
          <w:tcPr>
            <w:tcW w:w="1440" w:type="dxa"/>
            <w:vAlign w:val="center"/>
          </w:tcPr>
          <w:p w14:paraId="034F55FD" w14:textId="77777777" w:rsidR="009D01C9" w:rsidRPr="00D82997" w:rsidRDefault="009D01C9" w:rsidP="009478E1">
            <w:pPr>
              <w:jc w:val="center"/>
              <w:rPr>
                <w:rFonts w:ascii="Arial" w:hAnsi="Arial" w:cs="Arial"/>
                <w:sz w:val="20"/>
                <w:szCs w:val="20"/>
              </w:rPr>
            </w:pPr>
            <w:r w:rsidRPr="00D82997">
              <w:rPr>
                <w:rFonts w:ascii="Arial" w:hAnsi="Arial" w:cs="Arial"/>
                <w:b/>
                <w:bCs/>
                <w:color w:val="00B050"/>
                <w:sz w:val="20"/>
                <w:szCs w:val="20"/>
              </w:rPr>
              <w:sym w:font="Wingdings" w:char="F0FC"/>
            </w:r>
          </w:p>
        </w:tc>
        <w:tc>
          <w:tcPr>
            <w:tcW w:w="1440" w:type="dxa"/>
            <w:vAlign w:val="center"/>
          </w:tcPr>
          <w:p w14:paraId="799EF45A" w14:textId="01306923" w:rsidR="009D01C9" w:rsidRPr="009D01C9" w:rsidRDefault="009D01C9" w:rsidP="009D01C9">
            <w:pPr>
              <w:jc w:val="center"/>
              <w:rPr>
                <w:rFonts w:ascii="Arial" w:hAnsi="Arial" w:cs="Arial"/>
                <w:bCs/>
                <w:color w:val="000000" w:themeColor="text1"/>
                <w:sz w:val="20"/>
                <w:szCs w:val="20"/>
              </w:rPr>
            </w:pPr>
            <w:r>
              <w:rPr>
                <w:rFonts w:ascii="Arial" w:hAnsi="Arial" w:cs="Arial"/>
                <w:bCs/>
                <w:color w:val="000000" w:themeColor="text1"/>
                <w:sz w:val="20"/>
                <w:szCs w:val="20"/>
              </w:rPr>
              <w:t>3</w:t>
            </w:r>
          </w:p>
        </w:tc>
      </w:tr>
    </w:tbl>
    <w:p w14:paraId="12D5104D" w14:textId="77777777" w:rsidR="00ED2C1F" w:rsidRPr="00347E72" w:rsidRDefault="00ED2C1F" w:rsidP="00DB67E5">
      <w:pPr>
        <w:spacing w:before="80"/>
        <w:rPr>
          <w:rFonts w:ascii="Arial" w:hAnsi="Arial" w:cs="Arial"/>
          <w:sz w:val="18"/>
          <w:szCs w:val="18"/>
        </w:rPr>
      </w:pPr>
      <w:r w:rsidRPr="00347E72">
        <w:rPr>
          <w:rFonts w:ascii="Arial" w:hAnsi="Arial" w:cs="Arial"/>
          <w:sz w:val="18"/>
          <w:szCs w:val="18"/>
          <w:vertAlign w:val="superscript"/>
        </w:rPr>
        <w:t>1</w:t>
      </w:r>
      <w:r w:rsidRPr="00347E72">
        <w:rPr>
          <w:rFonts w:ascii="Arial" w:hAnsi="Arial" w:cs="Arial"/>
          <w:sz w:val="18"/>
          <w:szCs w:val="18"/>
        </w:rPr>
        <w:t>Percent difference between 2013 and 2015</w:t>
      </w:r>
      <w:r w:rsidR="001E7FA8">
        <w:rPr>
          <w:rFonts w:ascii="Arial" w:hAnsi="Arial" w:cs="Arial"/>
          <w:sz w:val="18"/>
          <w:szCs w:val="18"/>
        </w:rPr>
        <w:t xml:space="preserve"> prevalence rates</w:t>
      </w:r>
      <w:r w:rsidRPr="00347E72">
        <w:rPr>
          <w:rFonts w:ascii="Arial" w:hAnsi="Arial" w:cs="Arial"/>
          <w:sz w:val="18"/>
          <w:szCs w:val="18"/>
        </w:rPr>
        <w:t xml:space="preserve">; </w:t>
      </w:r>
      <w:r w:rsidR="009B0E70">
        <w:rPr>
          <w:rFonts w:ascii="Arial" w:hAnsi="Arial" w:cs="Arial"/>
          <w:sz w:val="18"/>
          <w:szCs w:val="18"/>
        </w:rPr>
        <w:t xml:space="preserve">cells showing decreases are shaded with </w:t>
      </w:r>
      <w:r w:rsidRPr="00347E72">
        <w:rPr>
          <w:rFonts w:ascii="Arial" w:hAnsi="Arial" w:cs="Arial"/>
          <w:sz w:val="18"/>
          <w:szCs w:val="18"/>
        </w:rPr>
        <w:t>green</w:t>
      </w:r>
      <w:r w:rsidR="00090441">
        <w:rPr>
          <w:rFonts w:ascii="Arial" w:hAnsi="Arial" w:cs="Arial"/>
          <w:sz w:val="18"/>
          <w:szCs w:val="18"/>
        </w:rPr>
        <w:t>.</w:t>
      </w:r>
    </w:p>
    <w:p w14:paraId="12DF1BEA" w14:textId="77777777" w:rsidR="00ED2C1F" w:rsidRPr="00347E72" w:rsidRDefault="00ED2C1F" w:rsidP="00DB67E5">
      <w:pPr>
        <w:rPr>
          <w:rFonts w:ascii="Arial" w:hAnsi="Arial" w:cs="Arial"/>
          <w:sz w:val="18"/>
          <w:szCs w:val="18"/>
        </w:rPr>
      </w:pPr>
      <w:r w:rsidRPr="00347E72">
        <w:rPr>
          <w:rFonts w:ascii="Arial" w:hAnsi="Arial" w:cs="Arial"/>
          <w:sz w:val="18"/>
          <w:szCs w:val="18"/>
          <w:vertAlign w:val="superscript"/>
        </w:rPr>
        <w:t>2</w:t>
      </w:r>
      <w:r w:rsidRPr="00347E72">
        <w:rPr>
          <w:rFonts w:ascii="Arial" w:hAnsi="Arial" w:cs="Arial"/>
          <w:sz w:val="18"/>
          <w:szCs w:val="18"/>
        </w:rPr>
        <w:t>Percent difference between 2013 and 2015</w:t>
      </w:r>
      <w:r w:rsidR="001E7FA8">
        <w:rPr>
          <w:rFonts w:ascii="Arial" w:hAnsi="Arial" w:cs="Arial"/>
          <w:sz w:val="18"/>
          <w:szCs w:val="18"/>
        </w:rPr>
        <w:t xml:space="preserve"> prevalence rates</w:t>
      </w:r>
      <w:r w:rsidR="00090441">
        <w:rPr>
          <w:rFonts w:ascii="Arial" w:hAnsi="Arial" w:cs="Arial"/>
          <w:sz w:val="18"/>
          <w:szCs w:val="18"/>
        </w:rPr>
        <w:t>.</w:t>
      </w:r>
    </w:p>
    <w:p w14:paraId="143E8D7E" w14:textId="77777777" w:rsidR="00ED2C1F" w:rsidRPr="00347E72" w:rsidRDefault="00ED2C1F" w:rsidP="00DB67E5">
      <w:pPr>
        <w:rPr>
          <w:rFonts w:ascii="Arial" w:hAnsi="Arial" w:cs="Arial"/>
          <w:sz w:val="18"/>
          <w:szCs w:val="18"/>
        </w:rPr>
      </w:pPr>
      <w:r w:rsidRPr="00347E72">
        <w:rPr>
          <w:rFonts w:ascii="Arial" w:hAnsi="Arial" w:cs="Arial"/>
          <w:sz w:val="18"/>
          <w:szCs w:val="18"/>
          <w:vertAlign w:val="superscript"/>
        </w:rPr>
        <w:t>3</w:t>
      </w:r>
      <w:r w:rsidR="009F7973">
        <w:rPr>
          <w:rFonts w:ascii="Arial" w:hAnsi="Arial" w:cs="Arial"/>
          <w:sz w:val="18"/>
          <w:szCs w:val="18"/>
        </w:rPr>
        <w:t>Checked if a g</w:t>
      </w:r>
      <w:r w:rsidRPr="00347E72">
        <w:rPr>
          <w:rFonts w:ascii="Arial" w:hAnsi="Arial" w:cs="Arial"/>
          <w:sz w:val="18"/>
          <w:szCs w:val="18"/>
        </w:rPr>
        <w:t>reater decrease (or le</w:t>
      </w:r>
      <w:r w:rsidR="00136633">
        <w:rPr>
          <w:rFonts w:ascii="Arial" w:hAnsi="Arial" w:cs="Arial"/>
          <w:sz w:val="18"/>
          <w:szCs w:val="18"/>
        </w:rPr>
        <w:t>ss of an increase) was observed for</w:t>
      </w:r>
      <w:r w:rsidR="009F7973">
        <w:rPr>
          <w:rFonts w:ascii="Arial" w:hAnsi="Arial" w:cs="Arial"/>
          <w:sz w:val="18"/>
          <w:szCs w:val="18"/>
        </w:rPr>
        <w:t xml:space="preserve"> PFS </w:t>
      </w:r>
      <w:r w:rsidRPr="00347E72">
        <w:rPr>
          <w:rFonts w:ascii="Arial" w:hAnsi="Arial" w:cs="Arial"/>
          <w:sz w:val="18"/>
          <w:szCs w:val="18"/>
        </w:rPr>
        <w:t>compared to non-funded areas</w:t>
      </w:r>
      <w:r w:rsidR="00090441">
        <w:rPr>
          <w:rFonts w:ascii="Arial" w:hAnsi="Arial" w:cs="Arial"/>
          <w:sz w:val="18"/>
          <w:szCs w:val="18"/>
        </w:rPr>
        <w:t>.</w:t>
      </w:r>
    </w:p>
    <w:p w14:paraId="3EC6D811" w14:textId="77777777" w:rsidR="00ED2C1F" w:rsidRDefault="001E7FA8" w:rsidP="00DB67E5">
      <w:pPr>
        <w:rPr>
          <w:rFonts w:ascii="Arial" w:hAnsi="Arial" w:cs="Arial"/>
          <w:sz w:val="18"/>
          <w:szCs w:val="18"/>
        </w:rPr>
      </w:pPr>
      <w:r w:rsidRPr="00090441">
        <w:rPr>
          <w:rFonts w:ascii="Arial" w:hAnsi="Arial" w:cs="Arial"/>
          <w:sz w:val="18"/>
          <w:szCs w:val="18"/>
          <w:vertAlign w:val="superscript"/>
        </w:rPr>
        <w:t>4</w:t>
      </w:r>
      <w:r w:rsidR="00090441">
        <w:rPr>
          <w:rFonts w:ascii="Arial" w:hAnsi="Arial" w:cs="Arial"/>
          <w:sz w:val="18"/>
          <w:szCs w:val="18"/>
        </w:rPr>
        <w:t>Statistical significance of differ</w:t>
      </w:r>
      <w:r w:rsidR="00723082">
        <w:rPr>
          <w:rFonts w:ascii="Arial" w:hAnsi="Arial" w:cs="Arial"/>
          <w:sz w:val="18"/>
          <w:szCs w:val="18"/>
        </w:rPr>
        <w:t>ence in percent change was d</w:t>
      </w:r>
      <w:r w:rsidR="00ED2C1F" w:rsidRPr="00090441">
        <w:rPr>
          <w:rFonts w:ascii="Arial" w:hAnsi="Arial" w:cs="Arial"/>
          <w:sz w:val="18"/>
          <w:szCs w:val="18"/>
        </w:rPr>
        <w:t>enoted</w:t>
      </w:r>
      <w:r w:rsidR="00090441">
        <w:rPr>
          <w:rFonts w:ascii="Arial" w:hAnsi="Arial" w:cs="Arial"/>
          <w:sz w:val="18"/>
          <w:szCs w:val="18"/>
        </w:rPr>
        <w:t xml:space="preserve"> as * if p&lt;.10, ** if p&lt;.05.</w:t>
      </w:r>
    </w:p>
    <w:p w14:paraId="6D5BCDFA" w14:textId="037B6D0A" w:rsidR="00723082" w:rsidRDefault="00723082" w:rsidP="00723082">
      <w:pPr>
        <w:ind w:left="144" w:hanging="144"/>
        <w:rPr>
          <w:rFonts w:ascii="Arial" w:hAnsi="Arial" w:cs="Arial"/>
          <w:sz w:val="18"/>
          <w:szCs w:val="18"/>
        </w:rPr>
      </w:pPr>
      <w:r>
        <w:rPr>
          <w:rFonts w:ascii="Arial" w:hAnsi="Arial" w:cs="Arial"/>
          <w:sz w:val="18"/>
          <w:szCs w:val="18"/>
          <w:vertAlign w:val="superscript"/>
        </w:rPr>
        <w:t>5</w:t>
      </w:r>
      <w:r>
        <w:rPr>
          <w:rFonts w:ascii="Arial" w:hAnsi="Arial" w:cs="Arial"/>
          <w:sz w:val="18"/>
          <w:szCs w:val="18"/>
        </w:rPr>
        <w:t>Current use refers to use within the past 30 days.  Binge drinking is defined as having 5 or more drinks on one occasion within the past 30 days.</w:t>
      </w:r>
    </w:p>
    <w:p w14:paraId="7004863C" w14:textId="3F8D5FD1" w:rsidR="002A180D" w:rsidRPr="002A180D" w:rsidRDefault="002A180D" w:rsidP="00723082">
      <w:pPr>
        <w:ind w:left="144" w:hanging="144"/>
        <w:rPr>
          <w:rFonts w:ascii="Arial" w:hAnsi="Arial" w:cs="Arial"/>
          <w:sz w:val="18"/>
          <w:szCs w:val="18"/>
        </w:rPr>
      </w:pPr>
      <w:r>
        <w:rPr>
          <w:rFonts w:ascii="Arial" w:hAnsi="Arial" w:cs="Arial"/>
          <w:sz w:val="18"/>
          <w:szCs w:val="18"/>
          <w:vertAlign w:val="superscript"/>
        </w:rPr>
        <w:t>6</w:t>
      </w:r>
      <w:r>
        <w:rPr>
          <w:rFonts w:ascii="Arial" w:hAnsi="Arial" w:cs="Arial"/>
          <w:sz w:val="18"/>
          <w:szCs w:val="18"/>
        </w:rPr>
        <w:t>Or respondent was not sure about how parents felt.</w:t>
      </w:r>
    </w:p>
    <w:p w14:paraId="568FE4FB" w14:textId="77777777" w:rsidR="003E51AD" w:rsidRDefault="003E51AD" w:rsidP="003E51AD">
      <w:pPr>
        <w:pStyle w:val="H2"/>
      </w:pPr>
      <w:bookmarkStart w:id="10" w:name="_Toc470697745"/>
    </w:p>
    <w:p w14:paraId="0FFE4D6A" w14:textId="77777777" w:rsidR="00152C4A" w:rsidRDefault="00152C4A" w:rsidP="00F02297">
      <w:pPr>
        <w:pStyle w:val="H2"/>
        <w:spacing w:after="160"/>
      </w:pPr>
      <w:r>
        <w:t>Findings from the YAS data</w:t>
      </w:r>
      <w:bookmarkEnd w:id="10"/>
    </w:p>
    <w:p w14:paraId="268453C5" w14:textId="40A9A257" w:rsidR="006A3AD6" w:rsidRDefault="00152C4A" w:rsidP="00D95D0E">
      <w:pPr>
        <w:spacing w:after="280"/>
        <w:rPr>
          <w:rFonts w:ascii="Arial" w:hAnsi="Arial" w:cs="Arial"/>
        </w:rPr>
      </w:pPr>
      <w:r w:rsidRPr="00152C4A">
        <w:rPr>
          <w:rFonts w:ascii="Arial" w:hAnsi="Arial" w:cs="Arial"/>
          <w:bCs/>
        </w:rPr>
        <w:t>A summary of the findi</w:t>
      </w:r>
      <w:r>
        <w:rPr>
          <w:rFonts w:ascii="Arial" w:hAnsi="Arial" w:cs="Arial"/>
          <w:bCs/>
        </w:rPr>
        <w:t xml:space="preserve">ngs from the YAS data, using the same </w:t>
      </w:r>
      <w:r w:rsidR="008539B0">
        <w:rPr>
          <w:rFonts w:ascii="Arial" w:hAnsi="Arial" w:cs="Arial"/>
          <w:bCs/>
        </w:rPr>
        <w:t>format as used for the YRBS summary above</w:t>
      </w:r>
      <w:r>
        <w:rPr>
          <w:rFonts w:ascii="Arial" w:hAnsi="Arial" w:cs="Arial"/>
          <w:bCs/>
        </w:rPr>
        <w:t xml:space="preserve">, is provided in Table 2.  </w:t>
      </w:r>
      <w:r>
        <w:rPr>
          <w:rFonts w:ascii="Arial" w:hAnsi="Arial" w:cs="Arial"/>
        </w:rPr>
        <w:t>Remarkably, the patterns observed in the YAS data closely resemble those seen in the YRBS data.</w:t>
      </w:r>
      <w:r w:rsidR="00D95D0E">
        <w:rPr>
          <w:rFonts w:ascii="Arial" w:hAnsi="Arial" w:cs="Arial"/>
        </w:rPr>
        <w:t xml:space="preserve">  Again, most prevalence rates in the PFS-funded regions declined between </w:t>
      </w:r>
      <w:r w:rsidR="002A180D">
        <w:rPr>
          <w:rFonts w:ascii="Arial" w:hAnsi="Arial" w:cs="Arial"/>
        </w:rPr>
        <w:t>the baseline and the follow-up years.</w:t>
      </w:r>
      <w:r w:rsidR="00D95D0E">
        <w:rPr>
          <w:rFonts w:ascii="Arial" w:hAnsi="Arial" w:cs="Arial"/>
        </w:rPr>
        <w:t xml:space="preserve">  Prominent exceptions, </w:t>
      </w:r>
      <w:r w:rsidR="00D95D0E">
        <w:rPr>
          <w:rFonts w:ascii="Arial" w:hAnsi="Arial" w:cs="Arial"/>
        </w:rPr>
        <w:lastRenderedPageBreak/>
        <w:t xml:space="preserve">however, were seen for </w:t>
      </w:r>
      <w:r w:rsidR="00DB2B58">
        <w:rPr>
          <w:rFonts w:ascii="Arial" w:hAnsi="Arial" w:cs="Arial"/>
        </w:rPr>
        <w:t xml:space="preserve">past year </w:t>
      </w:r>
      <w:r w:rsidR="00D95D0E">
        <w:rPr>
          <w:rFonts w:ascii="Arial" w:hAnsi="Arial" w:cs="Arial"/>
        </w:rPr>
        <w:t>prescription sedative misuse and prescription stimulant misuse, for which the prevalence rates in the PFS-funde</w:t>
      </w:r>
      <w:r w:rsidR="00835FA5">
        <w:rPr>
          <w:rFonts w:ascii="Arial" w:hAnsi="Arial" w:cs="Arial"/>
        </w:rPr>
        <w:t>d areas actually increased by 23</w:t>
      </w:r>
      <w:r w:rsidR="00D95D0E">
        <w:rPr>
          <w:rFonts w:ascii="Arial" w:hAnsi="Arial" w:cs="Arial"/>
        </w:rPr>
        <w:t xml:space="preserve">% and 11%, respectively.  The percent changes in the outcome measures were </w:t>
      </w:r>
      <w:r w:rsidR="00113ED7">
        <w:rPr>
          <w:rFonts w:ascii="Arial" w:hAnsi="Arial" w:cs="Arial"/>
        </w:rPr>
        <w:t xml:space="preserve">also </w:t>
      </w:r>
      <w:r w:rsidR="00D95D0E">
        <w:rPr>
          <w:rFonts w:ascii="Arial" w:hAnsi="Arial" w:cs="Arial"/>
        </w:rPr>
        <w:t>consistently more favorable in the PFS regions with the exception of stimulant misuse, which increased in the PFS regions and decreased elsewhere.  Additional analysis indicated that this contrary pattern reflects a decline in stimulant use among young adults who are not full-time students that occurred only in t</w:t>
      </w:r>
      <w:r w:rsidR="00113ED7">
        <w:rPr>
          <w:rFonts w:ascii="Arial" w:hAnsi="Arial" w:cs="Arial"/>
        </w:rPr>
        <w:t>he non-funded areas.   A</w:t>
      </w:r>
      <w:r w:rsidR="00D95D0E">
        <w:rPr>
          <w:rFonts w:ascii="Arial" w:hAnsi="Arial" w:cs="Arial"/>
        </w:rPr>
        <w:t>ll other comparisons</w:t>
      </w:r>
      <w:r w:rsidR="00BE605D">
        <w:rPr>
          <w:rFonts w:ascii="Arial" w:hAnsi="Arial" w:cs="Arial"/>
        </w:rPr>
        <w:t>,</w:t>
      </w:r>
      <w:r w:rsidR="00D95D0E">
        <w:rPr>
          <w:rFonts w:ascii="Arial" w:hAnsi="Arial" w:cs="Arial"/>
        </w:rPr>
        <w:t xml:space="preserve"> </w:t>
      </w:r>
      <w:r w:rsidR="00BE605D">
        <w:rPr>
          <w:rFonts w:ascii="Arial" w:hAnsi="Arial" w:cs="Arial"/>
        </w:rPr>
        <w:t xml:space="preserve">except for </w:t>
      </w:r>
      <w:r w:rsidR="00835FA5">
        <w:rPr>
          <w:rFonts w:ascii="Arial" w:hAnsi="Arial" w:cs="Arial"/>
        </w:rPr>
        <w:t xml:space="preserve">perceived </w:t>
      </w:r>
      <w:r w:rsidR="00BE605D">
        <w:rPr>
          <w:rFonts w:ascii="Arial" w:hAnsi="Arial" w:cs="Arial"/>
        </w:rPr>
        <w:t xml:space="preserve">ease of obtaining alcohol from bars and restaurants, showed more favorable degrees of </w:t>
      </w:r>
      <w:r w:rsidR="00D95D0E">
        <w:rPr>
          <w:rFonts w:ascii="Arial" w:hAnsi="Arial" w:cs="Arial"/>
        </w:rPr>
        <w:t xml:space="preserve">change in the PFS-funded areas, </w:t>
      </w:r>
      <w:r w:rsidR="00113ED7">
        <w:rPr>
          <w:rFonts w:ascii="Arial" w:hAnsi="Arial" w:cs="Arial"/>
        </w:rPr>
        <w:t xml:space="preserve">although </w:t>
      </w:r>
      <w:r w:rsidR="00D95D0E">
        <w:rPr>
          <w:rFonts w:ascii="Arial" w:hAnsi="Arial" w:cs="Arial"/>
        </w:rPr>
        <w:t>none of these differences was statistically significant.</w:t>
      </w:r>
      <w:r w:rsidR="006A3AD6">
        <w:rPr>
          <w:rFonts w:ascii="Arial" w:hAnsi="Arial" w:cs="Arial"/>
        </w:rPr>
        <w:t xml:space="preserve">  As was the case with the YRBS data, the favorable differences observed for the PFS regions collectively were also experienced by the majority of individual grantee regions</w:t>
      </w:r>
      <w:r w:rsidR="00BE605D">
        <w:rPr>
          <w:rFonts w:ascii="Arial" w:hAnsi="Arial" w:cs="Arial"/>
        </w:rPr>
        <w:t>.   Across the 10</w:t>
      </w:r>
      <w:r w:rsidR="00A04633">
        <w:rPr>
          <w:rFonts w:ascii="Arial" w:hAnsi="Arial" w:cs="Arial"/>
        </w:rPr>
        <w:t xml:space="preserve"> measures</w:t>
      </w:r>
      <w:r w:rsidR="0010448A">
        <w:rPr>
          <w:rFonts w:ascii="Arial" w:hAnsi="Arial" w:cs="Arial"/>
        </w:rPr>
        <w:t xml:space="preserve"> for which there was a </w:t>
      </w:r>
      <w:r w:rsidR="00A04633">
        <w:rPr>
          <w:rFonts w:ascii="Arial" w:hAnsi="Arial" w:cs="Arial"/>
        </w:rPr>
        <w:t xml:space="preserve">favorable difference for PFS regions collectively, the mean number of </w:t>
      </w:r>
      <w:r w:rsidR="003A7B09">
        <w:rPr>
          <w:rFonts w:ascii="Arial" w:hAnsi="Arial" w:cs="Arial"/>
        </w:rPr>
        <w:t>PFS regions</w:t>
      </w:r>
      <w:r w:rsidR="00A04633">
        <w:rPr>
          <w:rFonts w:ascii="Arial" w:hAnsi="Arial" w:cs="Arial"/>
        </w:rPr>
        <w:t xml:space="preserve"> that also experienced</w:t>
      </w:r>
      <w:r w:rsidR="00835FA5">
        <w:rPr>
          <w:rFonts w:ascii="Arial" w:hAnsi="Arial" w:cs="Arial"/>
        </w:rPr>
        <w:t xml:space="preserve"> a favorable difference was 4.2</w:t>
      </w:r>
      <w:r w:rsidR="00A04633">
        <w:rPr>
          <w:rFonts w:ascii="Arial" w:hAnsi="Arial" w:cs="Arial"/>
        </w:rPr>
        <w:t>.</w:t>
      </w:r>
    </w:p>
    <w:p w14:paraId="5CF28696" w14:textId="77777777" w:rsidR="00BE605D" w:rsidRPr="00BE605D" w:rsidRDefault="00BE605D" w:rsidP="00BE605D">
      <w:pPr>
        <w:spacing w:after="120"/>
        <w:rPr>
          <w:rFonts w:ascii="Arial" w:hAnsi="Arial" w:cs="Arial"/>
          <w:bCs/>
        </w:rPr>
      </w:pPr>
      <w:r w:rsidRPr="00BE605D">
        <w:rPr>
          <w:rFonts w:ascii="Arial" w:hAnsi="Arial" w:cs="Arial"/>
          <w:b/>
          <w:bCs/>
        </w:rPr>
        <w:t>Table 2.</w:t>
      </w:r>
      <w:r w:rsidRPr="00BE605D">
        <w:rPr>
          <w:rFonts w:ascii="Arial" w:hAnsi="Arial" w:cs="Arial"/>
          <w:bCs/>
        </w:rPr>
        <w:t xml:space="preserve"> Summary of PFS effects on young adults (from YAS)</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2"/>
        <w:gridCol w:w="1093"/>
        <w:gridCol w:w="1350"/>
        <w:gridCol w:w="1350"/>
        <w:gridCol w:w="1350"/>
        <w:gridCol w:w="1440"/>
      </w:tblGrid>
      <w:tr w:rsidR="00BE605D" w:rsidRPr="00BE605D" w14:paraId="2062F133" w14:textId="77777777" w:rsidTr="004726A7">
        <w:tc>
          <w:tcPr>
            <w:tcW w:w="3312" w:type="dxa"/>
            <w:shd w:val="clear" w:color="auto" w:fill="F2F2F2"/>
          </w:tcPr>
          <w:p w14:paraId="5F221FA0" w14:textId="77777777" w:rsidR="00BE605D" w:rsidRPr="00BE605D" w:rsidRDefault="00BE605D" w:rsidP="00BE605D">
            <w:pPr>
              <w:rPr>
                <w:rFonts w:ascii="Arial" w:hAnsi="Arial" w:cs="Arial"/>
                <w:sz w:val="20"/>
                <w:szCs w:val="20"/>
              </w:rPr>
            </w:pPr>
          </w:p>
        </w:tc>
        <w:tc>
          <w:tcPr>
            <w:tcW w:w="1093" w:type="dxa"/>
            <w:shd w:val="clear" w:color="auto" w:fill="F2F2F2"/>
            <w:vAlign w:val="bottom"/>
          </w:tcPr>
          <w:p w14:paraId="3B2435FC" w14:textId="77777777" w:rsidR="00BE605D" w:rsidRPr="00BE605D" w:rsidRDefault="00BE605D" w:rsidP="00BE605D">
            <w:pPr>
              <w:rPr>
                <w:rFonts w:ascii="Arial" w:hAnsi="Arial" w:cs="Arial"/>
                <w:sz w:val="20"/>
                <w:szCs w:val="20"/>
              </w:rPr>
            </w:pPr>
            <w:r w:rsidRPr="00BE605D">
              <w:rPr>
                <w:rFonts w:ascii="Arial" w:hAnsi="Arial" w:cs="Arial"/>
                <w:sz w:val="20"/>
                <w:szCs w:val="20"/>
              </w:rPr>
              <w:t>Baseline Rate</w:t>
            </w:r>
          </w:p>
          <w:p w14:paraId="7737DDDC" w14:textId="77777777" w:rsidR="00BE605D" w:rsidRPr="00BE605D" w:rsidRDefault="00BE605D" w:rsidP="00BE605D">
            <w:pPr>
              <w:rPr>
                <w:rFonts w:ascii="Arial" w:hAnsi="Arial" w:cs="Arial"/>
                <w:sz w:val="20"/>
                <w:szCs w:val="20"/>
              </w:rPr>
            </w:pPr>
            <w:r w:rsidRPr="00BE605D">
              <w:rPr>
                <w:rFonts w:ascii="Arial" w:hAnsi="Arial" w:cs="Arial"/>
                <w:sz w:val="20"/>
                <w:szCs w:val="20"/>
              </w:rPr>
              <w:t>(PFS)</w:t>
            </w:r>
          </w:p>
        </w:tc>
        <w:tc>
          <w:tcPr>
            <w:tcW w:w="1350" w:type="dxa"/>
            <w:shd w:val="clear" w:color="auto" w:fill="F2F2F2"/>
            <w:vAlign w:val="bottom"/>
          </w:tcPr>
          <w:p w14:paraId="35472E8B" w14:textId="77777777" w:rsidR="00BE605D" w:rsidRPr="00BE605D" w:rsidRDefault="00BE605D" w:rsidP="00BE605D">
            <w:pPr>
              <w:rPr>
                <w:rFonts w:ascii="Arial" w:hAnsi="Arial" w:cs="Arial"/>
                <w:sz w:val="20"/>
                <w:szCs w:val="20"/>
              </w:rPr>
            </w:pPr>
          </w:p>
          <w:p w14:paraId="06D15A73" w14:textId="77777777" w:rsidR="00BE605D" w:rsidRPr="00BE605D" w:rsidRDefault="00BE605D" w:rsidP="00BE605D">
            <w:pPr>
              <w:rPr>
                <w:rFonts w:ascii="Arial" w:hAnsi="Arial" w:cs="Arial"/>
                <w:sz w:val="20"/>
                <w:szCs w:val="20"/>
                <w:vertAlign w:val="superscript"/>
              </w:rPr>
            </w:pPr>
            <w:r w:rsidRPr="00BE605D">
              <w:rPr>
                <w:rFonts w:ascii="Arial" w:hAnsi="Arial" w:cs="Arial"/>
                <w:sz w:val="20"/>
                <w:szCs w:val="20"/>
              </w:rPr>
              <w:t>Pct Change</w:t>
            </w:r>
            <w:r w:rsidRPr="00BE605D">
              <w:rPr>
                <w:rFonts w:ascii="Arial" w:hAnsi="Arial" w:cs="Arial"/>
                <w:sz w:val="20"/>
                <w:szCs w:val="20"/>
                <w:vertAlign w:val="superscript"/>
              </w:rPr>
              <w:t>1</w:t>
            </w:r>
          </w:p>
          <w:p w14:paraId="288799FD" w14:textId="77777777" w:rsidR="00BE605D" w:rsidRPr="00BE605D" w:rsidRDefault="00BE605D" w:rsidP="00BE605D">
            <w:pPr>
              <w:rPr>
                <w:rFonts w:ascii="Arial" w:hAnsi="Arial" w:cs="Arial"/>
                <w:sz w:val="20"/>
                <w:szCs w:val="20"/>
              </w:rPr>
            </w:pPr>
            <w:r w:rsidRPr="00BE605D">
              <w:rPr>
                <w:rFonts w:ascii="Arial" w:hAnsi="Arial" w:cs="Arial"/>
                <w:sz w:val="20"/>
                <w:szCs w:val="20"/>
              </w:rPr>
              <w:t>(PFS)</w:t>
            </w:r>
          </w:p>
        </w:tc>
        <w:tc>
          <w:tcPr>
            <w:tcW w:w="1350" w:type="dxa"/>
            <w:shd w:val="clear" w:color="auto" w:fill="F2F2F2"/>
            <w:vAlign w:val="bottom"/>
          </w:tcPr>
          <w:p w14:paraId="752B38D4" w14:textId="77777777" w:rsidR="00BE605D" w:rsidRPr="00BE605D" w:rsidRDefault="00BE605D" w:rsidP="00BE605D">
            <w:pPr>
              <w:rPr>
                <w:rFonts w:ascii="Arial" w:hAnsi="Arial" w:cs="Arial"/>
                <w:sz w:val="20"/>
                <w:szCs w:val="20"/>
              </w:rPr>
            </w:pPr>
          </w:p>
          <w:p w14:paraId="16300684" w14:textId="77777777" w:rsidR="00BE605D" w:rsidRPr="00BE605D" w:rsidRDefault="00BE605D" w:rsidP="00BE605D">
            <w:pPr>
              <w:rPr>
                <w:rFonts w:ascii="Arial" w:hAnsi="Arial" w:cs="Arial"/>
                <w:sz w:val="20"/>
                <w:szCs w:val="20"/>
                <w:vertAlign w:val="subscript"/>
              </w:rPr>
            </w:pPr>
            <w:r w:rsidRPr="00BE605D">
              <w:rPr>
                <w:rFonts w:ascii="Arial" w:hAnsi="Arial" w:cs="Arial"/>
                <w:sz w:val="20"/>
                <w:szCs w:val="20"/>
              </w:rPr>
              <w:t>Pct Change</w:t>
            </w:r>
            <w:r w:rsidRPr="00BE605D">
              <w:rPr>
                <w:rFonts w:ascii="Arial" w:hAnsi="Arial" w:cs="Arial"/>
                <w:sz w:val="20"/>
                <w:szCs w:val="20"/>
                <w:vertAlign w:val="superscript"/>
              </w:rPr>
              <w:t>2</w:t>
            </w:r>
          </w:p>
          <w:p w14:paraId="4B76C633" w14:textId="77777777" w:rsidR="00BE605D" w:rsidRPr="00BE605D" w:rsidRDefault="00BE605D" w:rsidP="00BE605D">
            <w:pPr>
              <w:rPr>
                <w:rFonts w:ascii="Arial" w:hAnsi="Arial" w:cs="Arial"/>
                <w:sz w:val="20"/>
                <w:szCs w:val="20"/>
                <w:vertAlign w:val="superscript"/>
              </w:rPr>
            </w:pPr>
            <w:r w:rsidRPr="00BE605D">
              <w:rPr>
                <w:rFonts w:ascii="Arial" w:hAnsi="Arial" w:cs="Arial"/>
                <w:sz w:val="20"/>
                <w:szCs w:val="20"/>
              </w:rPr>
              <w:t xml:space="preserve">(Non-PFS) </w:t>
            </w:r>
          </w:p>
        </w:tc>
        <w:tc>
          <w:tcPr>
            <w:tcW w:w="1350" w:type="dxa"/>
            <w:shd w:val="clear" w:color="auto" w:fill="F2F2F2"/>
            <w:vAlign w:val="bottom"/>
          </w:tcPr>
          <w:p w14:paraId="269E80F9" w14:textId="77777777" w:rsidR="00BE605D" w:rsidRPr="00BE605D" w:rsidRDefault="00BE605D" w:rsidP="00BE605D">
            <w:pPr>
              <w:rPr>
                <w:rFonts w:ascii="Arial" w:hAnsi="Arial" w:cs="Arial"/>
                <w:sz w:val="20"/>
                <w:szCs w:val="20"/>
              </w:rPr>
            </w:pPr>
            <w:r w:rsidRPr="00BE605D">
              <w:rPr>
                <w:rFonts w:ascii="Arial" w:hAnsi="Arial" w:cs="Arial"/>
                <w:sz w:val="20"/>
                <w:szCs w:val="20"/>
              </w:rPr>
              <w:t>Favorable</w:t>
            </w:r>
          </w:p>
          <w:p w14:paraId="29C6A042" w14:textId="77777777" w:rsidR="00BE605D" w:rsidRPr="00BE605D" w:rsidRDefault="00BE605D" w:rsidP="00BE605D">
            <w:pPr>
              <w:rPr>
                <w:rFonts w:ascii="Arial" w:hAnsi="Arial" w:cs="Arial"/>
                <w:sz w:val="20"/>
                <w:szCs w:val="20"/>
                <w:vertAlign w:val="superscript"/>
              </w:rPr>
            </w:pPr>
            <w:r w:rsidRPr="00BE605D">
              <w:rPr>
                <w:rFonts w:ascii="Arial" w:hAnsi="Arial" w:cs="Arial"/>
                <w:sz w:val="20"/>
                <w:szCs w:val="20"/>
              </w:rPr>
              <w:t>Difference?</w:t>
            </w:r>
            <w:r w:rsidRPr="00BE605D">
              <w:rPr>
                <w:rFonts w:ascii="Arial" w:hAnsi="Arial" w:cs="Arial"/>
                <w:sz w:val="20"/>
                <w:szCs w:val="20"/>
                <w:vertAlign w:val="superscript"/>
              </w:rPr>
              <w:t>3</w:t>
            </w:r>
          </w:p>
        </w:tc>
        <w:tc>
          <w:tcPr>
            <w:tcW w:w="1440" w:type="dxa"/>
            <w:shd w:val="clear" w:color="auto" w:fill="F2F2F2"/>
            <w:vAlign w:val="bottom"/>
          </w:tcPr>
          <w:p w14:paraId="43FEC89C" w14:textId="77777777" w:rsidR="00BE605D" w:rsidRPr="00BE605D" w:rsidRDefault="00BE605D" w:rsidP="00BE605D">
            <w:pPr>
              <w:rPr>
                <w:rFonts w:ascii="Arial" w:hAnsi="Arial" w:cs="Arial"/>
                <w:sz w:val="20"/>
                <w:szCs w:val="20"/>
              </w:rPr>
            </w:pPr>
            <w:r w:rsidRPr="00BE605D">
              <w:rPr>
                <w:rFonts w:ascii="Arial" w:hAnsi="Arial" w:cs="Arial"/>
                <w:sz w:val="20"/>
                <w:szCs w:val="20"/>
              </w:rPr>
              <w:t>Number of PFS regions that had favorable difference</w:t>
            </w:r>
          </w:p>
        </w:tc>
      </w:tr>
      <w:tr w:rsidR="00BE605D" w:rsidRPr="00BE605D" w14:paraId="3A739415" w14:textId="77777777" w:rsidTr="004726A7">
        <w:tc>
          <w:tcPr>
            <w:tcW w:w="3312" w:type="dxa"/>
            <w:shd w:val="clear" w:color="auto" w:fill="F2F2F2"/>
          </w:tcPr>
          <w:p w14:paraId="0ECBF3EB" w14:textId="77777777" w:rsidR="00BE605D" w:rsidRPr="00BE605D" w:rsidRDefault="00BE605D" w:rsidP="00BE605D">
            <w:pPr>
              <w:rPr>
                <w:rFonts w:ascii="Arial" w:hAnsi="Arial" w:cs="Arial"/>
                <w:sz w:val="20"/>
                <w:szCs w:val="20"/>
                <w:vertAlign w:val="superscript"/>
              </w:rPr>
            </w:pPr>
            <w:r w:rsidRPr="00BE605D">
              <w:rPr>
                <w:rFonts w:ascii="Arial" w:hAnsi="Arial" w:cs="Arial"/>
                <w:sz w:val="20"/>
                <w:szCs w:val="20"/>
              </w:rPr>
              <w:t>Substance Use Behaviors</w:t>
            </w:r>
            <w:r w:rsidRPr="00BE605D">
              <w:rPr>
                <w:rFonts w:ascii="Arial" w:hAnsi="Arial" w:cs="Arial"/>
                <w:sz w:val="20"/>
                <w:szCs w:val="20"/>
                <w:vertAlign w:val="superscript"/>
              </w:rPr>
              <w:t>4</w:t>
            </w:r>
          </w:p>
        </w:tc>
        <w:tc>
          <w:tcPr>
            <w:tcW w:w="1093" w:type="dxa"/>
            <w:tcBorders>
              <w:bottom w:val="single" w:sz="4" w:space="0" w:color="auto"/>
            </w:tcBorders>
            <w:shd w:val="clear" w:color="auto" w:fill="F2F2F2"/>
          </w:tcPr>
          <w:p w14:paraId="41592F4D" w14:textId="77777777" w:rsidR="00BE605D" w:rsidRPr="00BE605D" w:rsidRDefault="00BE605D" w:rsidP="00BE605D">
            <w:pPr>
              <w:rPr>
                <w:rFonts w:ascii="Arial" w:hAnsi="Arial" w:cs="Arial"/>
                <w:sz w:val="20"/>
                <w:szCs w:val="20"/>
              </w:rPr>
            </w:pPr>
          </w:p>
        </w:tc>
        <w:tc>
          <w:tcPr>
            <w:tcW w:w="1350" w:type="dxa"/>
            <w:tcBorders>
              <w:bottom w:val="single" w:sz="4" w:space="0" w:color="auto"/>
            </w:tcBorders>
            <w:shd w:val="clear" w:color="auto" w:fill="F2F2F2"/>
          </w:tcPr>
          <w:p w14:paraId="157867E7" w14:textId="77777777" w:rsidR="00BE605D" w:rsidRPr="00BE605D" w:rsidRDefault="00BE605D" w:rsidP="00BE605D">
            <w:pPr>
              <w:rPr>
                <w:rFonts w:ascii="Arial" w:hAnsi="Arial" w:cs="Arial"/>
                <w:sz w:val="20"/>
                <w:szCs w:val="20"/>
              </w:rPr>
            </w:pPr>
          </w:p>
        </w:tc>
        <w:tc>
          <w:tcPr>
            <w:tcW w:w="1350" w:type="dxa"/>
            <w:shd w:val="clear" w:color="auto" w:fill="F2F2F2"/>
          </w:tcPr>
          <w:p w14:paraId="4736D4F8" w14:textId="77777777" w:rsidR="00BE605D" w:rsidRPr="00BE605D" w:rsidRDefault="00BE605D" w:rsidP="00BE605D">
            <w:pPr>
              <w:rPr>
                <w:rFonts w:ascii="Arial" w:hAnsi="Arial" w:cs="Arial"/>
                <w:sz w:val="20"/>
                <w:szCs w:val="20"/>
              </w:rPr>
            </w:pPr>
          </w:p>
        </w:tc>
        <w:tc>
          <w:tcPr>
            <w:tcW w:w="1350" w:type="dxa"/>
            <w:shd w:val="clear" w:color="auto" w:fill="F2F2F2"/>
          </w:tcPr>
          <w:p w14:paraId="1D9515F2" w14:textId="77777777" w:rsidR="00BE605D" w:rsidRPr="00BE605D" w:rsidRDefault="00BE605D" w:rsidP="00BE605D">
            <w:pPr>
              <w:rPr>
                <w:rFonts w:ascii="Arial" w:hAnsi="Arial" w:cs="Arial"/>
                <w:sz w:val="20"/>
                <w:szCs w:val="20"/>
              </w:rPr>
            </w:pPr>
          </w:p>
        </w:tc>
        <w:tc>
          <w:tcPr>
            <w:tcW w:w="1440" w:type="dxa"/>
            <w:shd w:val="clear" w:color="auto" w:fill="F2F2F2"/>
          </w:tcPr>
          <w:p w14:paraId="7B77B54F" w14:textId="77777777" w:rsidR="00BE605D" w:rsidRPr="00BE605D" w:rsidRDefault="00BE605D" w:rsidP="00BE605D">
            <w:pPr>
              <w:rPr>
                <w:rFonts w:ascii="Arial" w:hAnsi="Arial" w:cs="Arial"/>
                <w:sz w:val="20"/>
                <w:szCs w:val="20"/>
              </w:rPr>
            </w:pPr>
          </w:p>
        </w:tc>
      </w:tr>
      <w:tr w:rsidR="00BE605D" w:rsidRPr="00BE605D" w14:paraId="603A7837" w14:textId="77777777" w:rsidTr="004726A7">
        <w:tc>
          <w:tcPr>
            <w:tcW w:w="3312" w:type="dxa"/>
          </w:tcPr>
          <w:p w14:paraId="7F04B12F" w14:textId="77777777" w:rsidR="00BE605D" w:rsidRPr="00BE605D" w:rsidRDefault="00BE605D" w:rsidP="00BE605D">
            <w:pPr>
              <w:rPr>
                <w:rFonts w:ascii="Arial" w:hAnsi="Arial" w:cs="Arial"/>
                <w:sz w:val="20"/>
                <w:szCs w:val="20"/>
              </w:rPr>
            </w:pPr>
            <w:r w:rsidRPr="00BE605D">
              <w:rPr>
                <w:rFonts w:ascii="Arial" w:hAnsi="Arial" w:cs="Arial"/>
                <w:sz w:val="20"/>
                <w:szCs w:val="20"/>
              </w:rPr>
              <w:t>Current alcohol use</w:t>
            </w:r>
          </w:p>
        </w:tc>
        <w:tc>
          <w:tcPr>
            <w:tcW w:w="1093" w:type="dxa"/>
            <w:shd w:val="clear" w:color="auto" w:fill="FFFFFF"/>
          </w:tcPr>
          <w:p w14:paraId="720E43D2"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77.6</w:t>
            </w:r>
          </w:p>
        </w:tc>
        <w:tc>
          <w:tcPr>
            <w:tcW w:w="1350" w:type="dxa"/>
            <w:shd w:val="clear" w:color="auto" w:fill="82F68A"/>
            <w:vAlign w:val="bottom"/>
          </w:tcPr>
          <w:p w14:paraId="284CB0EC"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-4.0</w:t>
            </w:r>
          </w:p>
        </w:tc>
        <w:tc>
          <w:tcPr>
            <w:tcW w:w="1350" w:type="dxa"/>
            <w:vAlign w:val="bottom"/>
          </w:tcPr>
          <w:p w14:paraId="212C1B4A" w14:textId="77777777" w:rsidR="00BE605D" w:rsidRPr="00BE605D" w:rsidRDefault="00BE605D" w:rsidP="00BE605D">
            <w:pPr>
              <w:tabs>
                <w:tab w:val="decimal" w:pos="589"/>
              </w:tabs>
              <w:rPr>
                <w:rFonts w:ascii="Arial" w:hAnsi="Arial" w:cs="Arial"/>
                <w:color w:val="000000"/>
                <w:sz w:val="20"/>
                <w:szCs w:val="20"/>
              </w:rPr>
            </w:pPr>
            <w:r w:rsidRPr="00BE605D">
              <w:rPr>
                <w:rFonts w:ascii="Arial" w:hAnsi="Arial" w:cs="Arial"/>
                <w:color w:val="000000"/>
                <w:sz w:val="20"/>
                <w:szCs w:val="20"/>
              </w:rPr>
              <w:t>-2.6</w:t>
            </w:r>
          </w:p>
        </w:tc>
        <w:tc>
          <w:tcPr>
            <w:tcW w:w="1350" w:type="dxa"/>
            <w:vAlign w:val="center"/>
          </w:tcPr>
          <w:p w14:paraId="341F9949" w14:textId="77777777" w:rsidR="00BE605D" w:rsidRPr="00BE605D" w:rsidRDefault="00BE605D" w:rsidP="00BE605D">
            <w:pPr>
              <w:jc w:val="center"/>
              <w:rPr>
                <w:rFonts w:ascii="Arial" w:hAnsi="Arial" w:cs="Arial"/>
                <w:sz w:val="20"/>
                <w:szCs w:val="20"/>
              </w:rPr>
            </w:pPr>
            <w:r w:rsidRPr="00BE605D">
              <w:rPr>
                <w:rFonts w:ascii="Arial" w:hAnsi="Arial" w:cs="Arial"/>
                <w:b/>
                <w:bCs/>
                <w:color w:val="00B050"/>
                <w:sz w:val="20"/>
                <w:szCs w:val="20"/>
              </w:rPr>
              <w:sym w:font="Wingdings" w:char="F0FC"/>
            </w:r>
          </w:p>
        </w:tc>
        <w:tc>
          <w:tcPr>
            <w:tcW w:w="1440" w:type="dxa"/>
            <w:vAlign w:val="center"/>
          </w:tcPr>
          <w:p w14:paraId="3B485039" w14:textId="77777777" w:rsidR="00BE605D" w:rsidRPr="00BE605D" w:rsidRDefault="00BE605D" w:rsidP="00BE605D">
            <w:pPr>
              <w:jc w:val="center"/>
              <w:rPr>
                <w:rFonts w:ascii="Arial" w:hAnsi="Arial" w:cs="Arial"/>
                <w:bCs/>
                <w:sz w:val="20"/>
                <w:szCs w:val="20"/>
              </w:rPr>
            </w:pPr>
            <w:r w:rsidRPr="00BE605D">
              <w:rPr>
                <w:rFonts w:ascii="Arial" w:hAnsi="Arial" w:cs="Arial"/>
                <w:bCs/>
                <w:sz w:val="20"/>
                <w:szCs w:val="20"/>
              </w:rPr>
              <w:t>4</w:t>
            </w:r>
          </w:p>
        </w:tc>
      </w:tr>
      <w:tr w:rsidR="00BE605D" w:rsidRPr="00BE605D" w14:paraId="58B5EA11" w14:textId="77777777" w:rsidTr="004726A7">
        <w:tc>
          <w:tcPr>
            <w:tcW w:w="3312" w:type="dxa"/>
          </w:tcPr>
          <w:p w14:paraId="3E22CA32" w14:textId="77777777" w:rsidR="00BE605D" w:rsidRPr="00BE605D" w:rsidRDefault="00BE605D" w:rsidP="00BE605D">
            <w:pPr>
              <w:rPr>
                <w:rFonts w:ascii="Arial" w:hAnsi="Arial" w:cs="Arial"/>
                <w:sz w:val="20"/>
                <w:szCs w:val="20"/>
              </w:rPr>
            </w:pPr>
            <w:r w:rsidRPr="00BE605D">
              <w:rPr>
                <w:rFonts w:ascii="Arial" w:hAnsi="Arial" w:cs="Arial"/>
                <w:sz w:val="20"/>
                <w:szCs w:val="20"/>
              </w:rPr>
              <w:t>Current binge drinking</w:t>
            </w:r>
          </w:p>
        </w:tc>
        <w:tc>
          <w:tcPr>
            <w:tcW w:w="1093" w:type="dxa"/>
            <w:shd w:val="clear" w:color="auto" w:fill="FFFFFF"/>
          </w:tcPr>
          <w:p w14:paraId="57B3AF70"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59.7</w:t>
            </w:r>
          </w:p>
        </w:tc>
        <w:tc>
          <w:tcPr>
            <w:tcW w:w="1350" w:type="dxa"/>
            <w:shd w:val="clear" w:color="auto" w:fill="82F68A"/>
            <w:vAlign w:val="bottom"/>
          </w:tcPr>
          <w:p w14:paraId="235E3C46"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-16.1</w:t>
            </w:r>
          </w:p>
        </w:tc>
        <w:tc>
          <w:tcPr>
            <w:tcW w:w="1350" w:type="dxa"/>
            <w:vAlign w:val="bottom"/>
          </w:tcPr>
          <w:p w14:paraId="713B0213" w14:textId="77777777" w:rsidR="00BE605D" w:rsidRPr="00BE605D" w:rsidRDefault="00BE605D" w:rsidP="00BE605D">
            <w:pPr>
              <w:tabs>
                <w:tab w:val="decimal" w:pos="589"/>
              </w:tabs>
              <w:rPr>
                <w:rFonts w:ascii="Arial" w:hAnsi="Arial" w:cs="Arial"/>
                <w:color w:val="000000"/>
                <w:sz w:val="20"/>
                <w:szCs w:val="20"/>
              </w:rPr>
            </w:pPr>
            <w:r w:rsidRPr="00BE605D">
              <w:rPr>
                <w:rFonts w:ascii="Arial" w:hAnsi="Arial" w:cs="Arial"/>
                <w:color w:val="000000"/>
                <w:sz w:val="20"/>
                <w:szCs w:val="20"/>
              </w:rPr>
              <w:t>-9.2</w:t>
            </w:r>
          </w:p>
        </w:tc>
        <w:tc>
          <w:tcPr>
            <w:tcW w:w="1350" w:type="dxa"/>
            <w:vAlign w:val="center"/>
          </w:tcPr>
          <w:p w14:paraId="7FCB7907" w14:textId="77777777" w:rsidR="00BE605D" w:rsidRPr="00BE605D" w:rsidRDefault="00BE605D" w:rsidP="00BE605D">
            <w:pPr>
              <w:jc w:val="center"/>
              <w:rPr>
                <w:rFonts w:ascii="Arial" w:hAnsi="Arial" w:cs="Arial"/>
                <w:sz w:val="20"/>
                <w:szCs w:val="20"/>
              </w:rPr>
            </w:pPr>
            <w:r w:rsidRPr="00BE605D">
              <w:rPr>
                <w:rFonts w:ascii="Arial" w:hAnsi="Arial" w:cs="Arial"/>
                <w:b/>
                <w:bCs/>
                <w:color w:val="00B050"/>
                <w:sz w:val="20"/>
                <w:szCs w:val="20"/>
              </w:rPr>
              <w:sym w:font="Wingdings" w:char="F0FC"/>
            </w:r>
          </w:p>
        </w:tc>
        <w:tc>
          <w:tcPr>
            <w:tcW w:w="1440" w:type="dxa"/>
            <w:vAlign w:val="center"/>
          </w:tcPr>
          <w:p w14:paraId="3BEEF190" w14:textId="77777777" w:rsidR="00BE605D" w:rsidRPr="00BE605D" w:rsidRDefault="00BE605D" w:rsidP="00BE605D">
            <w:pPr>
              <w:jc w:val="center"/>
              <w:rPr>
                <w:rFonts w:ascii="Arial" w:hAnsi="Arial" w:cs="Arial"/>
                <w:bCs/>
                <w:sz w:val="20"/>
                <w:szCs w:val="20"/>
              </w:rPr>
            </w:pPr>
            <w:r w:rsidRPr="00BE605D">
              <w:rPr>
                <w:rFonts w:ascii="Arial" w:hAnsi="Arial" w:cs="Arial"/>
                <w:bCs/>
                <w:sz w:val="20"/>
                <w:szCs w:val="20"/>
              </w:rPr>
              <w:t>5</w:t>
            </w:r>
          </w:p>
        </w:tc>
      </w:tr>
      <w:tr w:rsidR="00BE605D" w:rsidRPr="00BE605D" w14:paraId="41EE8DE1" w14:textId="77777777" w:rsidTr="004726A7">
        <w:tc>
          <w:tcPr>
            <w:tcW w:w="3312" w:type="dxa"/>
          </w:tcPr>
          <w:p w14:paraId="55E17653" w14:textId="77777777" w:rsidR="00BE605D" w:rsidRPr="00BE605D" w:rsidRDefault="00BE605D" w:rsidP="00BE605D">
            <w:pPr>
              <w:rPr>
                <w:rFonts w:ascii="Arial" w:hAnsi="Arial" w:cs="Arial"/>
                <w:sz w:val="20"/>
                <w:szCs w:val="20"/>
              </w:rPr>
            </w:pPr>
            <w:r w:rsidRPr="00BE605D">
              <w:rPr>
                <w:rFonts w:ascii="Arial" w:hAnsi="Arial" w:cs="Arial"/>
                <w:sz w:val="20"/>
                <w:szCs w:val="20"/>
              </w:rPr>
              <w:t>Current underage alcohol use</w:t>
            </w:r>
          </w:p>
        </w:tc>
        <w:tc>
          <w:tcPr>
            <w:tcW w:w="1093" w:type="dxa"/>
            <w:shd w:val="clear" w:color="auto" w:fill="FFFFFF"/>
          </w:tcPr>
          <w:p w14:paraId="45853A6C"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66.6</w:t>
            </w:r>
          </w:p>
        </w:tc>
        <w:tc>
          <w:tcPr>
            <w:tcW w:w="1350" w:type="dxa"/>
            <w:shd w:val="clear" w:color="auto" w:fill="82F68A"/>
            <w:vAlign w:val="bottom"/>
          </w:tcPr>
          <w:p w14:paraId="231F2D22"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-7.8</w:t>
            </w:r>
          </w:p>
        </w:tc>
        <w:tc>
          <w:tcPr>
            <w:tcW w:w="1350" w:type="dxa"/>
            <w:vAlign w:val="bottom"/>
          </w:tcPr>
          <w:p w14:paraId="7E133A67" w14:textId="77777777" w:rsidR="00BE605D" w:rsidRPr="00BE605D" w:rsidRDefault="00BE605D" w:rsidP="00BE605D">
            <w:pPr>
              <w:tabs>
                <w:tab w:val="decimal" w:pos="589"/>
              </w:tabs>
              <w:rPr>
                <w:rFonts w:ascii="Arial" w:hAnsi="Arial" w:cs="Arial"/>
                <w:color w:val="000000"/>
                <w:sz w:val="20"/>
                <w:szCs w:val="20"/>
              </w:rPr>
            </w:pPr>
            <w:r w:rsidRPr="00BE605D">
              <w:rPr>
                <w:rFonts w:ascii="Arial" w:hAnsi="Arial" w:cs="Arial"/>
                <w:color w:val="000000"/>
                <w:sz w:val="20"/>
                <w:szCs w:val="20"/>
              </w:rPr>
              <w:t>2.0</w:t>
            </w:r>
          </w:p>
        </w:tc>
        <w:tc>
          <w:tcPr>
            <w:tcW w:w="1350" w:type="dxa"/>
            <w:vAlign w:val="center"/>
          </w:tcPr>
          <w:p w14:paraId="42B48571" w14:textId="77777777" w:rsidR="00BE605D" w:rsidRPr="00BE605D" w:rsidRDefault="00BE605D" w:rsidP="00BE605D">
            <w:pPr>
              <w:jc w:val="center"/>
              <w:rPr>
                <w:rFonts w:ascii="Arial" w:hAnsi="Arial" w:cs="Arial"/>
                <w:sz w:val="20"/>
                <w:szCs w:val="20"/>
              </w:rPr>
            </w:pPr>
            <w:r w:rsidRPr="00BE605D">
              <w:rPr>
                <w:rFonts w:ascii="Arial" w:hAnsi="Arial" w:cs="Arial"/>
                <w:b/>
                <w:bCs/>
                <w:color w:val="00B050"/>
                <w:sz w:val="20"/>
                <w:szCs w:val="20"/>
              </w:rPr>
              <w:sym w:font="Wingdings" w:char="F0FC"/>
            </w:r>
          </w:p>
        </w:tc>
        <w:tc>
          <w:tcPr>
            <w:tcW w:w="1440" w:type="dxa"/>
            <w:vAlign w:val="center"/>
          </w:tcPr>
          <w:p w14:paraId="22701BFD" w14:textId="77777777" w:rsidR="00BE605D" w:rsidRPr="00BE605D" w:rsidRDefault="00BE605D" w:rsidP="00BE605D">
            <w:pPr>
              <w:jc w:val="center"/>
              <w:rPr>
                <w:rFonts w:ascii="Arial" w:hAnsi="Arial" w:cs="Arial"/>
                <w:bCs/>
                <w:sz w:val="20"/>
                <w:szCs w:val="20"/>
              </w:rPr>
            </w:pPr>
            <w:r w:rsidRPr="00BE605D">
              <w:rPr>
                <w:rFonts w:ascii="Arial" w:hAnsi="Arial" w:cs="Arial"/>
                <w:bCs/>
                <w:sz w:val="20"/>
                <w:szCs w:val="20"/>
              </w:rPr>
              <w:t>5</w:t>
            </w:r>
          </w:p>
        </w:tc>
      </w:tr>
      <w:tr w:rsidR="00BE605D" w:rsidRPr="00BE605D" w14:paraId="76229F18" w14:textId="77777777" w:rsidTr="004726A7">
        <w:tc>
          <w:tcPr>
            <w:tcW w:w="3312" w:type="dxa"/>
          </w:tcPr>
          <w:p w14:paraId="77C5C9D3" w14:textId="77777777" w:rsidR="00BE605D" w:rsidRPr="00BE605D" w:rsidRDefault="00BE605D" w:rsidP="00BE605D">
            <w:pPr>
              <w:rPr>
                <w:rFonts w:ascii="Arial" w:hAnsi="Arial" w:cs="Arial"/>
                <w:sz w:val="20"/>
                <w:szCs w:val="20"/>
              </w:rPr>
            </w:pPr>
            <w:r w:rsidRPr="00BE605D">
              <w:rPr>
                <w:rFonts w:ascii="Arial" w:hAnsi="Arial" w:cs="Arial"/>
                <w:sz w:val="20"/>
                <w:szCs w:val="20"/>
              </w:rPr>
              <w:t>Past year Rx pain reliever misuse</w:t>
            </w:r>
          </w:p>
        </w:tc>
        <w:tc>
          <w:tcPr>
            <w:tcW w:w="1093" w:type="dxa"/>
            <w:shd w:val="clear" w:color="auto" w:fill="FFFFFF"/>
            <w:vAlign w:val="center"/>
          </w:tcPr>
          <w:p w14:paraId="79DCA2BA"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8.1</w:t>
            </w:r>
          </w:p>
        </w:tc>
        <w:tc>
          <w:tcPr>
            <w:tcW w:w="1350" w:type="dxa"/>
            <w:shd w:val="clear" w:color="auto" w:fill="82F68A"/>
            <w:vAlign w:val="center"/>
          </w:tcPr>
          <w:p w14:paraId="205BBC2C"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-26.1</w:t>
            </w:r>
          </w:p>
        </w:tc>
        <w:tc>
          <w:tcPr>
            <w:tcW w:w="1350" w:type="dxa"/>
            <w:vAlign w:val="center"/>
          </w:tcPr>
          <w:p w14:paraId="7A4EAE89" w14:textId="77777777" w:rsidR="00BE605D" w:rsidRPr="00BE605D" w:rsidRDefault="00BE605D" w:rsidP="00BE605D">
            <w:pPr>
              <w:tabs>
                <w:tab w:val="decimal" w:pos="589"/>
              </w:tabs>
              <w:rPr>
                <w:rFonts w:ascii="Arial" w:hAnsi="Arial" w:cs="Arial"/>
                <w:color w:val="000000"/>
                <w:sz w:val="20"/>
                <w:szCs w:val="20"/>
              </w:rPr>
            </w:pPr>
            <w:r w:rsidRPr="00BE605D">
              <w:rPr>
                <w:rFonts w:ascii="Arial" w:hAnsi="Arial" w:cs="Arial"/>
                <w:color w:val="000000"/>
                <w:sz w:val="20"/>
                <w:szCs w:val="20"/>
              </w:rPr>
              <w:t>-10.7</w:t>
            </w:r>
          </w:p>
        </w:tc>
        <w:tc>
          <w:tcPr>
            <w:tcW w:w="1350" w:type="dxa"/>
            <w:vAlign w:val="center"/>
          </w:tcPr>
          <w:p w14:paraId="378AB3B5" w14:textId="77777777" w:rsidR="00BE605D" w:rsidRPr="00BE605D" w:rsidRDefault="00BE605D" w:rsidP="00BE605D">
            <w:pPr>
              <w:jc w:val="center"/>
              <w:rPr>
                <w:rFonts w:ascii="Arial" w:hAnsi="Arial" w:cs="Arial"/>
                <w:b/>
                <w:bCs/>
                <w:color w:val="00B050"/>
                <w:sz w:val="20"/>
                <w:szCs w:val="20"/>
              </w:rPr>
            </w:pPr>
            <w:r w:rsidRPr="00BE605D">
              <w:rPr>
                <w:rFonts w:ascii="Arial" w:hAnsi="Arial" w:cs="Arial"/>
                <w:b/>
                <w:bCs/>
                <w:color w:val="00B050"/>
                <w:sz w:val="20"/>
                <w:szCs w:val="20"/>
              </w:rPr>
              <w:sym w:font="Wingdings" w:char="F0FC"/>
            </w:r>
          </w:p>
        </w:tc>
        <w:tc>
          <w:tcPr>
            <w:tcW w:w="1440" w:type="dxa"/>
            <w:vAlign w:val="center"/>
          </w:tcPr>
          <w:p w14:paraId="5F1CFCFF" w14:textId="77777777" w:rsidR="00BE605D" w:rsidRPr="00BE605D" w:rsidRDefault="00BE605D" w:rsidP="00BE605D">
            <w:pPr>
              <w:jc w:val="center"/>
              <w:rPr>
                <w:rFonts w:ascii="Arial" w:hAnsi="Arial" w:cs="Arial"/>
                <w:bCs/>
                <w:sz w:val="20"/>
                <w:szCs w:val="20"/>
              </w:rPr>
            </w:pPr>
            <w:r w:rsidRPr="00BE605D">
              <w:rPr>
                <w:rFonts w:ascii="Arial" w:hAnsi="Arial" w:cs="Arial"/>
                <w:bCs/>
                <w:sz w:val="20"/>
                <w:szCs w:val="20"/>
              </w:rPr>
              <w:t>5</w:t>
            </w:r>
          </w:p>
        </w:tc>
      </w:tr>
      <w:tr w:rsidR="00BE605D" w:rsidRPr="00BE605D" w14:paraId="0B9B90A2" w14:textId="77777777" w:rsidTr="004726A7">
        <w:tc>
          <w:tcPr>
            <w:tcW w:w="3312" w:type="dxa"/>
          </w:tcPr>
          <w:p w14:paraId="293E6178" w14:textId="77777777" w:rsidR="00BE605D" w:rsidRPr="00BE605D" w:rsidRDefault="00BE605D" w:rsidP="00BE605D">
            <w:pPr>
              <w:rPr>
                <w:rFonts w:ascii="Arial" w:hAnsi="Arial" w:cs="Arial"/>
                <w:sz w:val="20"/>
                <w:szCs w:val="20"/>
              </w:rPr>
            </w:pPr>
            <w:r w:rsidRPr="00BE605D">
              <w:rPr>
                <w:rFonts w:ascii="Arial" w:hAnsi="Arial" w:cs="Arial"/>
                <w:sz w:val="20"/>
                <w:szCs w:val="20"/>
              </w:rPr>
              <w:t>Past year Rx sedative misuse</w:t>
            </w:r>
          </w:p>
        </w:tc>
        <w:tc>
          <w:tcPr>
            <w:tcW w:w="1093" w:type="dxa"/>
          </w:tcPr>
          <w:p w14:paraId="592DF4E9"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5.7</w:t>
            </w:r>
          </w:p>
        </w:tc>
        <w:tc>
          <w:tcPr>
            <w:tcW w:w="1350" w:type="dxa"/>
            <w:vAlign w:val="bottom"/>
          </w:tcPr>
          <w:p w14:paraId="531970F3"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23.3</w:t>
            </w:r>
          </w:p>
        </w:tc>
        <w:tc>
          <w:tcPr>
            <w:tcW w:w="1350" w:type="dxa"/>
            <w:vAlign w:val="bottom"/>
          </w:tcPr>
          <w:p w14:paraId="120F001C" w14:textId="77777777" w:rsidR="00BE605D" w:rsidRPr="00BE605D" w:rsidRDefault="00BE605D" w:rsidP="00BE605D">
            <w:pPr>
              <w:tabs>
                <w:tab w:val="decimal" w:pos="589"/>
              </w:tabs>
              <w:rPr>
                <w:rFonts w:ascii="Arial" w:hAnsi="Arial" w:cs="Arial"/>
                <w:color w:val="000000"/>
                <w:sz w:val="20"/>
                <w:szCs w:val="20"/>
              </w:rPr>
            </w:pPr>
            <w:r w:rsidRPr="00BE605D">
              <w:rPr>
                <w:rFonts w:ascii="Arial" w:hAnsi="Arial" w:cs="Arial"/>
                <w:color w:val="000000"/>
                <w:sz w:val="20"/>
                <w:szCs w:val="20"/>
              </w:rPr>
              <w:t>73.1</w:t>
            </w:r>
          </w:p>
        </w:tc>
        <w:tc>
          <w:tcPr>
            <w:tcW w:w="1350" w:type="dxa"/>
            <w:vAlign w:val="center"/>
          </w:tcPr>
          <w:p w14:paraId="6483DFE0" w14:textId="77777777" w:rsidR="00BE605D" w:rsidRPr="00BE605D" w:rsidRDefault="00BE605D" w:rsidP="00BE605D">
            <w:pPr>
              <w:jc w:val="center"/>
              <w:rPr>
                <w:rFonts w:ascii="Arial" w:hAnsi="Arial" w:cs="Arial"/>
                <w:sz w:val="20"/>
                <w:szCs w:val="20"/>
              </w:rPr>
            </w:pPr>
            <w:r w:rsidRPr="00BE605D">
              <w:rPr>
                <w:rFonts w:ascii="Arial" w:hAnsi="Arial" w:cs="Arial"/>
                <w:b/>
                <w:bCs/>
                <w:color w:val="00B050"/>
                <w:sz w:val="20"/>
                <w:szCs w:val="20"/>
              </w:rPr>
              <w:sym w:font="Wingdings" w:char="F0FC"/>
            </w:r>
          </w:p>
        </w:tc>
        <w:tc>
          <w:tcPr>
            <w:tcW w:w="1440" w:type="dxa"/>
            <w:vAlign w:val="center"/>
          </w:tcPr>
          <w:p w14:paraId="32308CF0" w14:textId="77777777" w:rsidR="00BE605D" w:rsidRPr="00BE605D" w:rsidRDefault="00BE605D" w:rsidP="00BE605D">
            <w:pPr>
              <w:jc w:val="center"/>
              <w:rPr>
                <w:rFonts w:ascii="Arial" w:hAnsi="Arial" w:cs="Arial"/>
                <w:bCs/>
                <w:sz w:val="20"/>
                <w:szCs w:val="20"/>
              </w:rPr>
            </w:pPr>
            <w:r w:rsidRPr="00BE605D">
              <w:rPr>
                <w:rFonts w:ascii="Arial" w:hAnsi="Arial" w:cs="Arial"/>
                <w:bCs/>
                <w:sz w:val="20"/>
                <w:szCs w:val="20"/>
              </w:rPr>
              <w:t>4</w:t>
            </w:r>
          </w:p>
        </w:tc>
      </w:tr>
      <w:tr w:rsidR="00BE605D" w:rsidRPr="00BE605D" w14:paraId="5A65861F" w14:textId="77777777" w:rsidTr="004726A7">
        <w:tc>
          <w:tcPr>
            <w:tcW w:w="3312" w:type="dxa"/>
          </w:tcPr>
          <w:p w14:paraId="6A08483A" w14:textId="77777777" w:rsidR="00BE605D" w:rsidRPr="00BE605D" w:rsidRDefault="00BE605D" w:rsidP="00BE605D">
            <w:pPr>
              <w:rPr>
                <w:rFonts w:ascii="Arial" w:hAnsi="Arial" w:cs="Arial"/>
                <w:sz w:val="20"/>
                <w:szCs w:val="20"/>
              </w:rPr>
            </w:pPr>
            <w:r w:rsidRPr="00BE605D">
              <w:rPr>
                <w:rFonts w:ascii="Arial" w:hAnsi="Arial" w:cs="Arial"/>
                <w:sz w:val="20"/>
                <w:szCs w:val="20"/>
              </w:rPr>
              <w:t>Past year Rx stimulant misuse</w:t>
            </w:r>
          </w:p>
        </w:tc>
        <w:tc>
          <w:tcPr>
            <w:tcW w:w="1093" w:type="dxa"/>
          </w:tcPr>
          <w:p w14:paraId="5AC7CDCF"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12.4</w:t>
            </w:r>
          </w:p>
        </w:tc>
        <w:tc>
          <w:tcPr>
            <w:tcW w:w="1350" w:type="dxa"/>
            <w:vAlign w:val="bottom"/>
          </w:tcPr>
          <w:p w14:paraId="3E2F57E4"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11.2</w:t>
            </w:r>
          </w:p>
        </w:tc>
        <w:tc>
          <w:tcPr>
            <w:tcW w:w="1350" w:type="dxa"/>
            <w:vAlign w:val="bottom"/>
          </w:tcPr>
          <w:p w14:paraId="394B8990" w14:textId="77777777" w:rsidR="00BE605D" w:rsidRPr="00BE605D" w:rsidRDefault="00BE605D" w:rsidP="00BE605D">
            <w:pPr>
              <w:tabs>
                <w:tab w:val="decimal" w:pos="589"/>
              </w:tabs>
              <w:rPr>
                <w:rFonts w:ascii="Arial" w:hAnsi="Arial" w:cs="Arial"/>
                <w:color w:val="000000"/>
                <w:sz w:val="20"/>
                <w:szCs w:val="20"/>
              </w:rPr>
            </w:pPr>
            <w:r w:rsidRPr="00BE605D">
              <w:rPr>
                <w:rFonts w:ascii="Arial" w:hAnsi="Arial" w:cs="Arial"/>
                <w:color w:val="000000"/>
                <w:sz w:val="20"/>
                <w:szCs w:val="20"/>
              </w:rPr>
              <w:t>-15.7</w:t>
            </w:r>
          </w:p>
        </w:tc>
        <w:tc>
          <w:tcPr>
            <w:tcW w:w="1350" w:type="dxa"/>
            <w:vAlign w:val="center"/>
          </w:tcPr>
          <w:p w14:paraId="21E93AF2" w14:textId="77777777" w:rsidR="00BE605D" w:rsidRPr="00BE605D" w:rsidRDefault="00BE605D" w:rsidP="00BE605D">
            <w:pPr>
              <w:jc w:val="center"/>
              <w:rPr>
                <w:rFonts w:ascii="Arial" w:hAnsi="Arial" w:cs="Arial"/>
                <w:sz w:val="20"/>
                <w:szCs w:val="20"/>
              </w:rPr>
            </w:pPr>
          </w:p>
        </w:tc>
        <w:tc>
          <w:tcPr>
            <w:tcW w:w="1440" w:type="dxa"/>
            <w:vAlign w:val="center"/>
          </w:tcPr>
          <w:p w14:paraId="0B872365" w14:textId="77777777" w:rsidR="00BE605D" w:rsidRPr="00BE605D" w:rsidRDefault="00BE605D" w:rsidP="00BE605D">
            <w:pPr>
              <w:jc w:val="center"/>
              <w:rPr>
                <w:rFonts w:ascii="Arial" w:hAnsi="Arial" w:cs="Arial"/>
                <w:sz w:val="20"/>
                <w:szCs w:val="20"/>
              </w:rPr>
            </w:pPr>
            <w:r w:rsidRPr="00BE605D">
              <w:rPr>
                <w:rFonts w:ascii="Arial" w:hAnsi="Arial" w:cs="Arial"/>
                <w:sz w:val="20"/>
                <w:szCs w:val="20"/>
              </w:rPr>
              <w:t>1</w:t>
            </w:r>
          </w:p>
        </w:tc>
      </w:tr>
      <w:tr w:rsidR="00BE605D" w:rsidRPr="00BE605D" w14:paraId="0A2C2892" w14:textId="77777777" w:rsidTr="004726A7">
        <w:tc>
          <w:tcPr>
            <w:tcW w:w="3312" w:type="dxa"/>
            <w:shd w:val="clear" w:color="auto" w:fill="F2F2F2"/>
          </w:tcPr>
          <w:p w14:paraId="03D74874" w14:textId="77777777" w:rsidR="00BE605D" w:rsidRPr="00BE605D" w:rsidRDefault="00BE605D" w:rsidP="00BE605D">
            <w:pPr>
              <w:rPr>
                <w:rFonts w:ascii="Arial" w:hAnsi="Arial" w:cs="Arial"/>
                <w:sz w:val="20"/>
                <w:szCs w:val="20"/>
              </w:rPr>
            </w:pPr>
            <w:r w:rsidRPr="00BE605D">
              <w:rPr>
                <w:rFonts w:ascii="Arial" w:hAnsi="Arial" w:cs="Arial"/>
                <w:sz w:val="20"/>
                <w:szCs w:val="20"/>
              </w:rPr>
              <w:t>Risk Factors</w:t>
            </w:r>
          </w:p>
        </w:tc>
        <w:tc>
          <w:tcPr>
            <w:tcW w:w="1093" w:type="dxa"/>
            <w:tcBorders>
              <w:bottom w:val="single" w:sz="4" w:space="0" w:color="auto"/>
            </w:tcBorders>
            <w:shd w:val="clear" w:color="auto" w:fill="F2F2F2"/>
          </w:tcPr>
          <w:p w14:paraId="750340E9" w14:textId="77777777" w:rsidR="00BE605D" w:rsidRPr="00BE605D" w:rsidRDefault="00BE605D" w:rsidP="00BE605D">
            <w:pPr>
              <w:jc w:val="center"/>
              <w:rPr>
                <w:rFonts w:ascii="Arial" w:hAnsi="Arial" w:cs="Arial"/>
                <w:sz w:val="20"/>
                <w:szCs w:val="20"/>
              </w:rPr>
            </w:pPr>
          </w:p>
        </w:tc>
        <w:tc>
          <w:tcPr>
            <w:tcW w:w="1350" w:type="dxa"/>
            <w:tcBorders>
              <w:bottom w:val="single" w:sz="4" w:space="0" w:color="auto"/>
            </w:tcBorders>
            <w:shd w:val="clear" w:color="auto" w:fill="F2F2F2"/>
            <w:vAlign w:val="center"/>
          </w:tcPr>
          <w:p w14:paraId="18DE2262" w14:textId="77777777" w:rsidR="00BE605D" w:rsidRPr="00BE605D" w:rsidRDefault="00BE605D" w:rsidP="00BE605D">
            <w:pPr>
              <w:jc w:val="center"/>
              <w:rPr>
                <w:rFonts w:ascii="Arial" w:hAnsi="Arial" w:cs="Arial"/>
                <w:sz w:val="20"/>
                <w:szCs w:val="20"/>
              </w:rPr>
            </w:pPr>
          </w:p>
        </w:tc>
        <w:tc>
          <w:tcPr>
            <w:tcW w:w="1350" w:type="dxa"/>
            <w:shd w:val="clear" w:color="auto" w:fill="F2F2F2"/>
            <w:vAlign w:val="center"/>
          </w:tcPr>
          <w:p w14:paraId="1CD9C745" w14:textId="77777777" w:rsidR="00BE605D" w:rsidRPr="00BE605D" w:rsidRDefault="00BE605D" w:rsidP="00BE605D">
            <w:pPr>
              <w:jc w:val="center"/>
              <w:rPr>
                <w:rFonts w:ascii="Arial" w:hAnsi="Arial" w:cs="Arial"/>
                <w:sz w:val="20"/>
                <w:szCs w:val="20"/>
              </w:rPr>
            </w:pPr>
          </w:p>
        </w:tc>
        <w:tc>
          <w:tcPr>
            <w:tcW w:w="1350" w:type="dxa"/>
            <w:shd w:val="clear" w:color="auto" w:fill="F2F2F2"/>
            <w:vAlign w:val="center"/>
          </w:tcPr>
          <w:p w14:paraId="69BE6859" w14:textId="77777777" w:rsidR="00BE605D" w:rsidRPr="00BE605D" w:rsidRDefault="00BE605D" w:rsidP="00BE605D">
            <w:pPr>
              <w:jc w:val="center"/>
              <w:rPr>
                <w:rFonts w:ascii="Arial" w:hAnsi="Arial" w:cs="Arial"/>
                <w:sz w:val="20"/>
                <w:szCs w:val="20"/>
              </w:rPr>
            </w:pPr>
          </w:p>
        </w:tc>
        <w:tc>
          <w:tcPr>
            <w:tcW w:w="1440" w:type="dxa"/>
            <w:shd w:val="clear" w:color="auto" w:fill="F2F2F2"/>
            <w:vAlign w:val="center"/>
          </w:tcPr>
          <w:p w14:paraId="48B606B5" w14:textId="77777777" w:rsidR="00BE605D" w:rsidRPr="00BE605D" w:rsidRDefault="00BE605D" w:rsidP="00BE605D">
            <w:pPr>
              <w:jc w:val="center"/>
              <w:rPr>
                <w:rFonts w:ascii="Arial" w:hAnsi="Arial" w:cs="Arial"/>
                <w:sz w:val="20"/>
                <w:szCs w:val="20"/>
              </w:rPr>
            </w:pPr>
          </w:p>
        </w:tc>
      </w:tr>
      <w:tr w:rsidR="00BE605D" w:rsidRPr="00BE605D" w14:paraId="43931CE0" w14:textId="77777777" w:rsidTr="004726A7">
        <w:tc>
          <w:tcPr>
            <w:tcW w:w="3312" w:type="dxa"/>
          </w:tcPr>
          <w:p w14:paraId="5B1D2235" w14:textId="77777777" w:rsidR="00BE605D" w:rsidRPr="00BE605D" w:rsidRDefault="00BE605D" w:rsidP="00BE605D">
            <w:pPr>
              <w:rPr>
                <w:rFonts w:ascii="Arial" w:hAnsi="Arial" w:cs="Arial"/>
                <w:color w:val="000000"/>
                <w:sz w:val="20"/>
                <w:szCs w:val="20"/>
              </w:rPr>
            </w:pPr>
            <w:r w:rsidRPr="00BE605D">
              <w:rPr>
                <w:rFonts w:ascii="Arial" w:hAnsi="Arial" w:cs="Arial"/>
                <w:color w:val="000000"/>
                <w:sz w:val="20"/>
                <w:szCs w:val="20"/>
              </w:rPr>
              <w:t>Obtaining alcohol from friends or family by persons 18-20 perceived to be very easy</w:t>
            </w:r>
          </w:p>
        </w:tc>
        <w:tc>
          <w:tcPr>
            <w:tcW w:w="1093" w:type="dxa"/>
            <w:shd w:val="clear" w:color="auto" w:fill="FFFFFF"/>
            <w:vAlign w:val="center"/>
          </w:tcPr>
          <w:p w14:paraId="07B63BCD" w14:textId="77777777" w:rsidR="00BE605D" w:rsidRPr="00BE605D" w:rsidRDefault="00BE605D" w:rsidP="00BE605D">
            <w:pPr>
              <w:tabs>
                <w:tab w:val="decimal" w:pos="517"/>
              </w:tabs>
              <w:rPr>
                <w:color w:val="000000"/>
              </w:rPr>
            </w:pPr>
            <w:r w:rsidRPr="00BE605D">
              <w:rPr>
                <w:color w:val="000000"/>
              </w:rPr>
              <w:t>57.6</w:t>
            </w:r>
          </w:p>
        </w:tc>
        <w:tc>
          <w:tcPr>
            <w:tcW w:w="1350" w:type="dxa"/>
            <w:shd w:val="clear" w:color="auto" w:fill="82F68A"/>
            <w:vAlign w:val="center"/>
          </w:tcPr>
          <w:p w14:paraId="7520D434"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-3.9</w:t>
            </w:r>
          </w:p>
        </w:tc>
        <w:tc>
          <w:tcPr>
            <w:tcW w:w="1350" w:type="dxa"/>
            <w:vAlign w:val="center"/>
          </w:tcPr>
          <w:p w14:paraId="0779B998" w14:textId="77777777" w:rsidR="00BE605D" w:rsidRPr="00BE605D" w:rsidRDefault="00BE605D" w:rsidP="00BE605D">
            <w:pPr>
              <w:tabs>
                <w:tab w:val="decimal" w:pos="499"/>
              </w:tabs>
              <w:rPr>
                <w:rFonts w:ascii="Arial" w:hAnsi="Arial" w:cs="Arial"/>
                <w:color w:val="000000"/>
                <w:sz w:val="20"/>
                <w:szCs w:val="20"/>
              </w:rPr>
            </w:pPr>
            <w:r w:rsidRPr="00BE605D">
              <w:rPr>
                <w:rFonts w:ascii="Arial" w:hAnsi="Arial" w:cs="Arial"/>
                <w:color w:val="000000"/>
                <w:sz w:val="20"/>
                <w:szCs w:val="20"/>
              </w:rPr>
              <w:t>-2.3</w:t>
            </w:r>
          </w:p>
        </w:tc>
        <w:tc>
          <w:tcPr>
            <w:tcW w:w="1350" w:type="dxa"/>
            <w:vAlign w:val="center"/>
          </w:tcPr>
          <w:p w14:paraId="63D1A281" w14:textId="77777777" w:rsidR="00BE605D" w:rsidRPr="00BE605D" w:rsidRDefault="00BE605D" w:rsidP="00BE605D">
            <w:pPr>
              <w:jc w:val="center"/>
              <w:rPr>
                <w:rFonts w:ascii="Arial" w:hAnsi="Arial" w:cs="Arial"/>
                <w:sz w:val="20"/>
                <w:szCs w:val="20"/>
              </w:rPr>
            </w:pPr>
            <w:r w:rsidRPr="00BE605D">
              <w:rPr>
                <w:rFonts w:ascii="Arial" w:hAnsi="Arial" w:cs="Arial"/>
                <w:b/>
                <w:bCs/>
                <w:color w:val="00B050"/>
                <w:sz w:val="20"/>
                <w:szCs w:val="20"/>
              </w:rPr>
              <w:sym w:font="Wingdings" w:char="F0FC"/>
            </w:r>
          </w:p>
        </w:tc>
        <w:tc>
          <w:tcPr>
            <w:tcW w:w="1440" w:type="dxa"/>
            <w:vAlign w:val="center"/>
          </w:tcPr>
          <w:p w14:paraId="7C542818" w14:textId="77777777" w:rsidR="00BE605D" w:rsidRPr="00BE605D" w:rsidRDefault="00BE605D" w:rsidP="00BE605D">
            <w:pPr>
              <w:jc w:val="center"/>
              <w:rPr>
                <w:rFonts w:ascii="Arial" w:hAnsi="Arial" w:cs="Arial"/>
                <w:bCs/>
                <w:sz w:val="20"/>
                <w:szCs w:val="20"/>
              </w:rPr>
            </w:pPr>
            <w:r w:rsidRPr="00BE605D">
              <w:rPr>
                <w:rFonts w:ascii="Arial" w:hAnsi="Arial" w:cs="Arial"/>
                <w:bCs/>
                <w:sz w:val="20"/>
                <w:szCs w:val="20"/>
              </w:rPr>
              <w:t>3</w:t>
            </w:r>
          </w:p>
        </w:tc>
      </w:tr>
      <w:tr w:rsidR="00BE605D" w:rsidRPr="00BE605D" w14:paraId="373D4B47" w14:textId="77777777" w:rsidTr="004726A7">
        <w:tc>
          <w:tcPr>
            <w:tcW w:w="3312" w:type="dxa"/>
          </w:tcPr>
          <w:p w14:paraId="7DC79676" w14:textId="77777777" w:rsidR="00BE605D" w:rsidRPr="00BE605D" w:rsidRDefault="00BE605D" w:rsidP="00BE605D">
            <w:pPr>
              <w:rPr>
                <w:rFonts w:ascii="Arial" w:hAnsi="Arial" w:cs="Arial"/>
                <w:color w:val="000000"/>
                <w:sz w:val="20"/>
                <w:szCs w:val="20"/>
              </w:rPr>
            </w:pPr>
            <w:r w:rsidRPr="00BE605D">
              <w:rPr>
                <w:rFonts w:ascii="Arial" w:hAnsi="Arial" w:cs="Arial"/>
                <w:color w:val="000000"/>
                <w:sz w:val="20"/>
                <w:szCs w:val="20"/>
              </w:rPr>
              <w:t>Obtaining alcohol from stores by persons 18-20 perceived to be somewhat easy or very easy</w:t>
            </w:r>
          </w:p>
        </w:tc>
        <w:tc>
          <w:tcPr>
            <w:tcW w:w="1093" w:type="dxa"/>
            <w:shd w:val="clear" w:color="auto" w:fill="FFFFFF"/>
            <w:vAlign w:val="center"/>
          </w:tcPr>
          <w:p w14:paraId="6CE42BF1" w14:textId="77777777" w:rsidR="00BE605D" w:rsidRPr="00BE605D" w:rsidRDefault="00BE605D" w:rsidP="00BE605D">
            <w:pPr>
              <w:tabs>
                <w:tab w:val="decimal" w:pos="517"/>
              </w:tabs>
              <w:rPr>
                <w:color w:val="000000"/>
              </w:rPr>
            </w:pPr>
            <w:r w:rsidRPr="00BE605D">
              <w:rPr>
                <w:color w:val="000000"/>
              </w:rPr>
              <w:t>27.0</w:t>
            </w:r>
          </w:p>
        </w:tc>
        <w:tc>
          <w:tcPr>
            <w:tcW w:w="1350" w:type="dxa"/>
            <w:tcBorders>
              <w:bottom w:val="single" w:sz="4" w:space="0" w:color="auto"/>
            </w:tcBorders>
            <w:vAlign w:val="center"/>
          </w:tcPr>
          <w:p w14:paraId="0876BF28"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4.0</w:t>
            </w:r>
          </w:p>
        </w:tc>
        <w:tc>
          <w:tcPr>
            <w:tcW w:w="1350" w:type="dxa"/>
            <w:vAlign w:val="center"/>
          </w:tcPr>
          <w:p w14:paraId="4E9005B9" w14:textId="77777777" w:rsidR="00BE605D" w:rsidRPr="00BE605D" w:rsidRDefault="00BE605D" w:rsidP="00BE605D">
            <w:pPr>
              <w:tabs>
                <w:tab w:val="decimal" w:pos="499"/>
              </w:tabs>
              <w:rPr>
                <w:rFonts w:ascii="Arial" w:hAnsi="Arial" w:cs="Arial"/>
                <w:color w:val="000000"/>
                <w:sz w:val="20"/>
                <w:szCs w:val="20"/>
              </w:rPr>
            </w:pPr>
            <w:r w:rsidRPr="00BE605D">
              <w:rPr>
                <w:rFonts w:ascii="Arial" w:hAnsi="Arial" w:cs="Arial"/>
                <w:color w:val="000000"/>
                <w:sz w:val="20"/>
                <w:szCs w:val="20"/>
              </w:rPr>
              <w:t>9.9</w:t>
            </w:r>
          </w:p>
        </w:tc>
        <w:tc>
          <w:tcPr>
            <w:tcW w:w="1350" w:type="dxa"/>
            <w:vAlign w:val="center"/>
          </w:tcPr>
          <w:p w14:paraId="063859C9" w14:textId="77777777" w:rsidR="00BE605D" w:rsidRPr="00BE605D" w:rsidRDefault="00BE605D" w:rsidP="00BE605D">
            <w:pPr>
              <w:jc w:val="center"/>
              <w:rPr>
                <w:rFonts w:ascii="Arial" w:hAnsi="Arial" w:cs="Arial"/>
                <w:sz w:val="20"/>
                <w:szCs w:val="20"/>
              </w:rPr>
            </w:pPr>
            <w:r w:rsidRPr="00BE605D">
              <w:rPr>
                <w:rFonts w:ascii="Arial" w:hAnsi="Arial" w:cs="Arial"/>
                <w:b/>
                <w:bCs/>
                <w:color w:val="00B050"/>
                <w:sz w:val="20"/>
                <w:szCs w:val="20"/>
              </w:rPr>
              <w:sym w:font="Wingdings" w:char="F0FC"/>
            </w:r>
          </w:p>
        </w:tc>
        <w:tc>
          <w:tcPr>
            <w:tcW w:w="1440" w:type="dxa"/>
            <w:vAlign w:val="center"/>
          </w:tcPr>
          <w:p w14:paraId="3AD923C0" w14:textId="77777777" w:rsidR="00BE605D" w:rsidRPr="00BE605D" w:rsidRDefault="00BE605D" w:rsidP="00BE605D">
            <w:pPr>
              <w:jc w:val="center"/>
              <w:rPr>
                <w:rFonts w:ascii="Arial" w:hAnsi="Arial" w:cs="Arial"/>
                <w:bCs/>
                <w:sz w:val="20"/>
                <w:szCs w:val="20"/>
              </w:rPr>
            </w:pPr>
            <w:r w:rsidRPr="00BE605D">
              <w:rPr>
                <w:rFonts w:ascii="Arial" w:hAnsi="Arial" w:cs="Arial"/>
                <w:bCs/>
                <w:sz w:val="20"/>
                <w:szCs w:val="20"/>
              </w:rPr>
              <w:t>5</w:t>
            </w:r>
          </w:p>
        </w:tc>
      </w:tr>
      <w:tr w:rsidR="00BE605D" w:rsidRPr="00BE605D" w14:paraId="6A012981" w14:textId="77777777" w:rsidTr="004726A7">
        <w:tc>
          <w:tcPr>
            <w:tcW w:w="3312" w:type="dxa"/>
          </w:tcPr>
          <w:p w14:paraId="457DA40E" w14:textId="77777777" w:rsidR="00BE605D" w:rsidRPr="00BE605D" w:rsidRDefault="00BE605D" w:rsidP="00BE605D">
            <w:pPr>
              <w:rPr>
                <w:rFonts w:ascii="Arial" w:hAnsi="Arial" w:cs="Arial"/>
                <w:color w:val="000000"/>
                <w:sz w:val="20"/>
                <w:szCs w:val="20"/>
              </w:rPr>
            </w:pPr>
            <w:r w:rsidRPr="00BE605D">
              <w:rPr>
                <w:rFonts w:ascii="Arial" w:hAnsi="Arial" w:cs="Arial"/>
                <w:color w:val="000000"/>
                <w:sz w:val="20"/>
                <w:szCs w:val="20"/>
              </w:rPr>
              <w:t>Obtaining alcohol in bars and restaurants by persons 18-20 perceived to be somewhat easy or very easy</w:t>
            </w:r>
          </w:p>
        </w:tc>
        <w:tc>
          <w:tcPr>
            <w:tcW w:w="1093" w:type="dxa"/>
            <w:shd w:val="clear" w:color="auto" w:fill="FFFFFF"/>
            <w:vAlign w:val="center"/>
          </w:tcPr>
          <w:p w14:paraId="000B8EF2" w14:textId="77777777" w:rsidR="00BE605D" w:rsidRPr="00BE605D" w:rsidRDefault="00BE605D" w:rsidP="00BE605D">
            <w:pPr>
              <w:tabs>
                <w:tab w:val="decimal" w:pos="517"/>
              </w:tabs>
              <w:rPr>
                <w:color w:val="000000"/>
              </w:rPr>
            </w:pPr>
            <w:r w:rsidRPr="00BE605D">
              <w:rPr>
                <w:color w:val="000000"/>
              </w:rPr>
              <w:t>16.5</w:t>
            </w:r>
          </w:p>
        </w:tc>
        <w:tc>
          <w:tcPr>
            <w:tcW w:w="1350" w:type="dxa"/>
            <w:shd w:val="clear" w:color="auto" w:fill="82F68A"/>
            <w:vAlign w:val="center"/>
          </w:tcPr>
          <w:p w14:paraId="567795EE"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-9.6</w:t>
            </w:r>
          </w:p>
        </w:tc>
        <w:tc>
          <w:tcPr>
            <w:tcW w:w="1350" w:type="dxa"/>
            <w:vAlign w:val="center"/>
          </w:tcPr>
          <w:p w14:paraId="44BFB842" w14:textId="77777777" w:rsidR="00BE605D" w:rsidRPr="00BE605D" w:rsidRDefault="00BE605D" w:rsidP="00BE605D">
            <w:pPr>
              <w:tabs>
                <w:tab w:val="decimal" w:pos="499"/>
              </w:tabs>
              <w:rPr>
                <w:rFonts w:ascii="Arial" w:hAnsi="Arial" w:cs="Arial"/>
                <w:color w:val="000000"/>
                <w:sz w:val="20"/>
                <w:szCs w:val="20"/>
              </w:rPr>
            </w:pPr>
            <w:r w:rsidRPr="00BE605D">
              <w:rPr>
                <w:rFonts w:ascii="Arial" w:hAnsi="Arial" w:cs="Arial"/>
                <w:color w:val="000000"/>
                <w:sz w:val="20"/>
                <w:szCs w:val="20"/>
              </w:rPr>
              <w:t>-11.1</w:t>
            </w:r>
          </w:p>
        </w:tc>
        <w:tc>
          <w:tcPr>
            <w:tcW w:w="1350" w:type="dxa"/>
            <w:vAlign w:val="center"/>
          </w:tcPr>
          <w:p w14:paraId="0A0C9991" w14:textId="77777777" w:rsidR="00BE605D" w:rsidRPr="00BE605D" w:rsidRDefault="00BE605D" w:rsidP="00BE605D">
            <w:pPr>
              <w:jc w:val="center"/>
              <w:rPr>
                <w:rFonts w:ascii="Arial" w:hAnsi="Arial" w:cs="Arial"/>
                <w:sz w:val="20"/>
                <w:szCs w:val="20"/>
              </w:rPr>
            </w:pPr>
          </w:p>
        </w:tc>
        <w:tc>
          <w:tcPr>
            <w:tcW w:w="1440" w:type="dxa"/>
            <w:vAlign w:val="center"/>
          </w:tcPr>
          <w:p w14:paraId="206BFE22" w14:textId="77777777" w:rsidR="00BE605D" w:rsidRPr="00BE605D" w:rsidRDefault="00BE605D" w:rsidP="00BE605D">
            <w:pPr>
              <w:jc w:val="center"/>
              <w:rPr>
                <w:rFonts w:ascii="Arial" w:hAnsi="Arial" w:cs="Arial"/>
                <w:bCs/>
                <w:sz w:val="20"/>
                <w:szCs w:val="20"/>
              </w:rPr>
            </w:pPr>
            <w:r w:rsidRPr="00BE605D">
              <w:rPr>
                <w:rFonts w:ascii="Arial" w:hAnsi="Arial" w:cs="Arial"/>
                <w:bCs/>
                <w:sz w:val="20"/>
                <w:szCs w:val="20"/>
              </w:rPr>
              <w:t>3</w:t>
            </w:r>
          </w:p>
        </w:tc>
      </w:tr>
      <w:tr w:rsidR="00BE605D" w:rsidRPr="00BE605D" w14:paraId="5426ED63" w14:textId="77777777" w:rsidTr="004726A7">
        <w:tc>
          <w:tcPr>
            <w:tcW w:w="3312" w:type="dxa"/>
          </w:tcPr>
          <w:p w14:paraId="49A21AD2" w14:textId="77777777" w:rsidR="00BE605D" w:rsidRPr="00BE605D" w:rsidRDefault="00BE605D" w:rsidP="00BE605D">
            <w:pPr>
              <w:rPr>
                <w:rFonts w:ascii="Arial" w:hAnsi="Arial" w:cs="Arial"/>
                <w:color w:val="000000"/>
                <w:sz w:val="20"/>
                <w:szCs w:val="20"/>
              </w:rPr>
            </w:pPr>
            <w:r w:rsidRPr="00BE605D">
              <w:rPr>
                <w:rFonts w:ascii="Arial" w:hAnsi="Arial" w:cs="Arial"/>
                <w:color w:val="000000"/>
                <w:sz w:val="20"/>
                <w:szCs w:val="20"/>
              </w:rPr>
              <w:t>Obtaining Rx pain relievers without a prescription perceived to be somewhat easy or very easy</w:t>
            </w:r>
          </w:p>
        </w:tc>
        <w:tc>
          <w:tcPr>
            <w:tcW w:w="1093" w:type="dxa"/>
            <w:shd w:val="clear" w:color="auto" w:fill="FFFFFF"/>
            <w:vAlign w:val="center"/>
          </w:tcPr>
          <w:p w14:paraId="6AEBC5C6" w14:textId="77777777" w:rsidR="00BE605D" w:rsidRPr="00BE605D" w:rsidRDefault="00BE605D" w:rsidP="00BE605D">
            <w:pPr>
              <w:tabs>
                <w:tab w:val="decimal" w:pos="517"/>
              </w:tabs>
              <w:rPr>
                <w:color w:val="000000"/>
              </w:rPr>
            </w:pPr>
            <w:r w:rsidRPr="00BE605D">
              <w:rPr>
                <w:color w:val="000000"/>
              </w:rPr>
              <w:t>37.2</w:t>
            </w:r>
          </w:p>
        </w:tc>
        <w:tc>
          <w:tcPr>
            <w:tcW w:w="1350" w:type="dxa"/>
            <w:shd w:val="clear" w:color="auto" w:fill="82F68A"/>
            <w:vAlign w:val="center"/>
          </w:tcPr>
          <w:p w14:paraId="720F34D0"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-7.5</w:t>
            </w:r>
          </w:p>
        </w:tc>
        <w:tc>
          <w:tcPr>
            <w:tcW w:w="1350" w:type="dxa"/>
            <w:vAlign w:val="center"/>
          </w:tcPr>
          <w:p w14:paraId="4C6A0161" w14:textId="77777777" w:rsidR="00BE605D" w:rsidRPr="00BE605D" w:rsidRDefault="00BE605D" w:rsidP="00BE605D">
            <w:pPr>
              <w:tabs>
                <w:tab w:val="decimal" w:pos="499"/>
              </w:tabs>
              <w:rPr>
                <w:rFonts w:ascii="Arial" w:hAnsi="Arial" w:cs="Arial"/>
                <w:color w:val="000000"/>
                <w:sz w:val="20"/>
                <w:szCs w:val="20"/>
              </w:rPr>
            </w:pPr>
            <w:r w:rsidRPr="00BE605D">
              <w:rPr>
                <w:rFonts w:ascii="Arial" w:hAnsi="Arial" w:cs="Arial"/>
                <w:color w:val="000000"/>
                <w:sz w:val="20"/>
                <w:szCs w:val="20"/>
              </w:rPr>
              <w:t>-4.6</w:t>
            </w:r>
          </w:p>
        </w:tc>
        <w:tc>
          <w:tcPr>
            <w:tcW w:w="1350" w:type="dxa"/>
            <w:vAlign w:val="center"/>
          </w:tcPr>
          <w:p w14:paraId="19C3BCC8" w14:textId="77777777" w:rsidR="00BE605D" w:rsidRPr="00BE605D" w:rsidRDefault="00BE605D" w:rsidP="00BE605D">
            <w:pPr>
              <w:jc w:val="center"/>
              <w:rPr>
                <w:rFonts w:ascii="Arial" w:hAnsi="Arial" w:cs="Arial"/>
                <w:sz w:val="20"/>
                <w:szCs w:val="20"/>
              </w:rPr>
            </w:pPr>
            <w:r w:rsidRPr="00BE605D">
              <w:rPr>
                <w:rFonts w:ascii="Arial" w:hAnsi="Arial" w:cs="Arial"/>
                <w:b/>
                <w:bCs/>
                <w:color w:val="00B050"/>
                <w:sz w:val="20"/>
                <w:szCs w:val="20"/>
              </w:rPr>
              <w:sym w:font="Wingdings" w:char="F0FC"/>
            </w:r>
          </w:p>
        </w:tc>
        <w:tc>
          <w:tcPr>
            <w:tcW w:w="1440" w:type="dxa"/>
            <w:vAlign w:val="center"/>
          </w:tcPr>
          <w:p w14:paraId="052E16A2" w14:textId="77777777" w:rsidR="00BE605D" w:rsidRPr="00BE605D" w:rsidRDefault="00BE605D" w:rsidP="00BE605D">
            <w:pPr>
              <w:jc w:val="center"/>
              <w:rPr>
                <w:rFonts w:ascii="Arial" w:hAnsi="Arial" w:cs="Arial"/>
                <w:bCs/>
                <w:sz w:val="20"/>
                <w:szCs w:val="20"/>
              </w:rPr>
            </w:pPr>
            <w:r w:rsidRPr="00BE605D">
              <w:rPr>
                <w:rFonts w:ascii="Arial" w:hAnsi="Arial" w:cs="Arial"/>
                <w:bCs/>
                <w:sz w:val="20"/>
                <w:szCs w:val="20"/>
              </w:rPr>
              <w:t>3</w:t>
            </w:r>
          </w:p>
        </w:tc>
      </w:tr>
      <w:tr w:rsidR="00BE605D" w:rsidRPr="00BE605D" w14:paraId="1D74B0E5" w14:textId="77777777" w:rsidTr="004726A7">
        <w:tc>
          <w:tcPr>
            <w:tcW w:w="3312" w:type="dxa"/>
          </w:tcPr>
          <w:p w14:paraId="746DD311" w14:textId="77777777" w:rsidR="00BE605D" w:rsidRPr="00BE605D" w:rsidRDefault="00BE605D" w:rsidP="00BE605D">
            <w:pPr>
              <w:rPr>
                <w:rFonts w:ascii="Arial" w:hAnsi="Arial" w:cs="Arial"/>
                <w:color w:val="000000"/>
                <w:sz w:val="20"/>
                <w:szCs w:val="20"/>
              </w:rPr>
            </w:pPr>
            <w:r w:rsidRPr="00BE605D">
              <w:rPr>
                <w:rFonts w:ascii="Arial" w:hAnsi="Arial" w:cs="Arial"/>
                <w:color w:val="000000"/>
                <w:sz w:val="20"/>
                <w:szCs w:val="20"/>
              </w:rPr>
              <w:t xml:space="preserve">Risk of harm from binge drinking perceived to be no risk or slight risk </w:t>
            </w:r>
          </w:p>
        </w:tc>
        <w:tc>
          <w:tcPr>
            <w:tcW w:w="1093" w:type="dxa"/>
            <w:shd w:val="clear" w:color="auto" w:fill="FFFFFF"/>
            <w:vAlign w:val="center"/>
          </w:tcPr>
          <w:p w14:paraId="344726CB" w14:textId="77777777" w:rsidR="00BE605D" w:rsidRPr="00BE605D" w:rsidRDefault="00BE605D" w:rsidP="00BE605D">
            <w:pPr>
              <w:tabs>
                <w:tab w:val="decimal" w:pos="517"/>
              </w:tabs>
              <w:rPr>
                <w:color w:val="000000"/>
              </w:rPr>
            </w:pPr>
            <w:r w:rsidRPr="00BE605D">
              <w:rPr>
                <w:color w:val="000000"/>
              </w:rPr>
              <w:t>27.9</w:t>
            </w:r>
          </w:p>
        </w:tc>
        <w:tc>
          <w:tcPr>
            <w:tcW w:w="1350" w:type="dxa"/>
            <w:shd w:val="clear" w:color="auto" w:fill="82F68A"/>
            <w:vAlign w:val="center"/>
          </w:tcPr>
          <w:p w14:paraId="28A7F7B7"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-15.2</w:t>
            </w:r>
          </w:p>
        </w:tc>
        <w:tc>
          <w:tcPr>
            <w:tcW w:w="1350" w:type="dxa"/>
            <w:vAlign w:val="center"/>
          </w:tcPr>
          <w:p w14:paraId="4ED6E346" w14:textId="77777777" w:rsidR="00BE605D" w:rsidRPr="00BE605D" w:rsidRDefault="00BE605D" w:rsidP="00BE605D">
            <w:pPr>
              <w:tabs>
                <w:tab w:val="decimal" w:pos="499"/>
              </w:tabs>
              <w:rPr>
                <w:rFonts w:ascii="Arial" w:hAnsi="Arial" w:cs="Arial"/>
                <w:color w:val="000000"/>
                <w:sz w:val="20"/>
                <w:szCs w:val="20"/>
              </w:rPr>
            </w:pPr>
            <w:r w:rsidRPr="00BE605D">
              <w:rPr>
                <w:rFonts w:ascii="Arial" w:hAnsi="Arial" w:cs="Arial"/>
                <w:color w:val="000000"/>
                <w:sz w:val="20"/>
                <w:szCs w:val="20"/>
              </w:rPr>
              <w:t>-7.2</w:t>
            </w:r>
          </w:p>
        </w:tc>
        <w:tc>
          <w:tcPr>
            <w:tcW w:w="1350" w:type="dxa"/>
            <w:vAlign w:val="center"/>
          </w:tcPr>
          <w:p w14:paraId="24D9CC53" w14:textId="77777777" w:rsidR="00BE605D" w:rsidRPr="00BE605D" w:rsidRDefault="00BE605D" w:rsidP="00BE605D">
            <w:pPr>
              <w:jc w:val="center"/>
              <w:rPr>
                <w:rFonts w:ascii="Arial" w:hAnsi="Arial" w:cs="Arial"/>
                <w:sz w:val="20"/>
                <w:szCs w:val="20"/>
              </w:rPr>
            </w:pPr>
            <w:r w:rsidRPr="00BE605D">
              <w:rPr>
                <w:rFonts w:ascii="Arial" w:hAnsi="Arial" w:cs="Arial"/>
                <w:b/>
                <w:bCs/>
                <w:color w:val="00B050"/>
                <w:sz w:val="20"/>
                <w:szCs w:val="20"/>
              </w:rPr>
              <w:sym w:font="Wingdings" w:char="F0FC"/>
            </w:r>
          </w:p>
        </w:tc>
        <w:tc>
          <w:tcPr>
            <w:tcW w:w="1440" w:type="dxa"/>
            <w:vAlign w:val="center"/>
          </w:tcPr>
          <w:p w14:paraId="5280421A" w14:textId="77777777" w:rsidR="00BE605D" w:rsidRPr="00BE605D" w:rsidRDefault="00BE605D" w:rsidP="00BE605D">
            <w:pPr>
              <w:jc w:val="center"/>
              <w:rPr>
                <w:rFonts w:ascii="Arial" w:hAnsi="Arial" w:cs="Arial"/>
                <w:bCs/>
                <w:sz w:val="20"/>
                <w:szCs w:val="20"/>
              </w:rPr>
            </w:pPr>
            <w:r w:rsidRPr="00BE605D">
              <w:rPr>
                <w:rFonts w:ascii="Arial" w:hAnsi="Arial" w:cs="Arial"/>
                <w:bCs/>
                <w:sz w:val="20"/>
                <w:szCs w:val="20"/>
              </w:rPr>
              <w:t>4</w:t>
            </w:r>
          </w:p>
        </w:tc>
      </w:tr>
      <w:tr w:rsidR="00BE605D" w:rsidRPr="00BE605D" w14:paraId="48554002" w14:textId="77777777" w:rsidTr="004726A7">
        <w:tc>
          <w:tcPr>
            <w:tcW w:w="3312" w:type="dxa"/>
          </w:tcPr>
          <w:p w14:paraId="20B305AE" w14:textId="77777777" w:rsidR="00BE605D" w:rsidRPr="00BE605D" w:rsidRDefault="00BE605D" w:rsidP="00BE605D">
            <w:pPr>
              <w:rPr>
                <w:rFonts w:ascii="Arial" w:hAnsi="Arial" w:cs="Arial"/>
                <w:color w:val="000000"/>
                <w:sz w:val="20"/>
                <w:szCs w:val="20"/>
              </w:rPr>
            </w:pPr>
            <w:r w:rsidRPr="00BE605D">
              <w:rPr>
                <w:rFonts w:ascii="Arial" w:hAnsi="Arial" w:cs="Arial"/>
                <w:color w:val="000000"/>
                <w:sz w:val="20"/>
                <w:szCs w:val="20"/>
              </w:rPr>
              <w:t>Risk of harm from using R</w:t>
            </w:r>
            <w:r w:rsidRPr="00BE605D">
              <w:rPr>
                <w:rFonts w:ascii="Arial" w:hAnsi="Arial" w:cs="Arial"/>
                <w:color w:val="000000"/>
                <w:sz w:val="20"/>
                <w:szCs w:val="20"/>
                <w:vertAlign w:val="subscript"/>
              </w:rPr>
              <w:t xml:space="preserve">x </w:t>
            </w:r>
            <w:r w:rsidRPr="00BE605D">
              <w:rPr>
                <w:rFonts w:ascii="Arial" w:hAnsi="Arial" w:cs="Arial"/>
                <w:color w:val="000000"/>
                <w:sz w:val="20"/>
                <w:szCs w:val="20"/>
              </w:rPr>
              <w:t>pain relievers not prescribed perceived to be no risk or slight risk</w:t>
            </w:r>
            <w:r w:rsidRPr="00BE605D">
              <w:rPr>
                <w:rFonts w:ascii="Arial" w:hAnsi="Arial" w:cs="Arial"/>
                <w:color w:val="000000"/>
                <w:sz w:val="20"/>
                <w:szCs w:val="20"/>
                <w:vertAlign w:val="superscript"/>
              </w:rPr>
              <w:t>5</w:t>
            </w:r>
            <w:r w:rsidRPr="00BE605D">
              <w:rPr>
                <w:rFonts w:ascii="Arial" w:hAnsi="Arial" w:cs="Arial"/>
                <w:color w:val="000000"/>
                <w:sz w:val="20"/>
                <w:szCs w:val="20"/>
              </w:rPr>
              <w:t xml:space="preserve"> </w:t>
            </w:r>
          </w:p>
        </w:tc>
        <w:tc>
          <w:tcPr>
            <w:tcW w:w="1093" w:type="dxa"/>
            <w:shd w:val="clear" w:color="auto" w:fill="FFFFFF"/>
            <w:vAlign w:val="center"/>
          </w:tcPr>
          <w:p w14:paraId="0EED9870" w14:textId="77777777" w:rsidR="00BE605D" w:rsidRPr="00BE605D" w:rsidRDefault="00BE605D" w:rsidP="00BE605D">
            <w:pPr>
              <w:tabs>
                <w:tab w:val="decimal" w:pos="517"/>
              </w:tabs>
              <w:rPr>
                <w:color w:val="000000"/>
              </w:rPr>
            </w:pPr>
            <w:r w:rsidRPr="00BE605D">
              <w:rPr>
                <w:color w:val="000000"/>
              </w:rPr>
              <w:t>23.4</w:t>
            </w:r>
          </w:p>
        </w:tc>
        <w:tc>
          <w:tcPr>
            <w:tcW w:w="1350" w:type="dxa"/>
            <w:shd w:val="clear" w:color="auto" w:fill="82F68A"/>
            <w:vAlign w:val="center"/>
          </w:tcPr>
          <w:p w14:paraId="4BFDCB51" w14:textId="77777777" w:rsidR="00BE605D" w:rsidRPr="00BE605D" w:rsidRDefault="00BE605D" w:rsidP="00BE605D">
            <w:pPr>
              <w:tabs>
                <w:tab w:val="decimal" w:pos="517"/>
              </w:tabs>
              <w:rPr>
                <w:rFonts w:ascii="Arial" w:hAnsi="Arial" w:cs="Arial"/>
                <w:color w:val="000000"/>
                <w:sz w:val="20"/>
                <w:szCs w:val="20"/>
              </w:rPr>
            </w:pPr>
            <w:r w:rsidRPr="00BE605D">
              <w:rPr>
                <w:rFonts w:ascii="Arial" w:hAnsi="Arial" w:cs="Arial"/>
                <w:color w:val="000000"/>
                <w:sz w:val="20"/>
                <w:szCs w:val="20"/>
              </w:rPr>
              <w:t>-1.9</w:t>
            </w:r>
          </w:p>
        </w:tc>
        <w:tc>
          <w:tcPr>
            <w:tcW w:w="1350" w:type="dxa"/>
            <w:vAlign w:val="center"/>
          </w:tcPr>
          <w:p w14:paraId="626DB8F7" w14:textId="77777777" w:rsidR="00BE605D" w:rsidRPr="00BE605D" w:rsidRDefault="00BE605D" w:rsidP="00BE605D">
            <w:pPr>
              <w:tabs>
                <w:tab w:val="decimal" w:pos="499"/>
              </w:tabs>
              <w:rPr>
                <w:rFonts w:ascii="Arial" w:hAnsi="Arial" w:cs="Arial"/>
                <w:color w:val="000000"/>
                <w:sz w:val="20"/>
                <w:szCs w:val="20"/>
              </w:rPr>
            </w:pPr>
            <w:r w:rsidRPr="00BE605D">
              <w:rPr>
                <w:rFonts w:ascii="Arial" w:hAnsi="Arial" w:cs="Arial"/>
                <w:color w:val="000000"/>
                <w:sz w:val="20"/>
                <w:szCs w:val="20"/>
              </w:rPr>
              <w:t>-0.5</w:t>
            </w:r>
          </w:p>
        </w:tc>
        <w:tc>
          <w:tcPr>
            <w:tcW w:w="1350" w:type="dxa"/>
            <w:vAlign w:val="center"/>
          </w:tcPr>
          <w:p w14:paraId="265DD411" w14:textId="77777777" w:rsidR="00BE605D" w:rsidRPr="00BE605D" w:rsidRDefault="00BE605D" w:rsidP="00BE605D">
            <w:pPr>
              <w:jc w:val="center"/>
              <w:rPr>
                <w:rFonts w:ascii="Arial" w:hAnsi="Arial" w:cs="Arial"/>
                <w:sz w:val="20"/>
                <w:szCs w:val="20"/>
              </w:rPr>
            </w:pPr>
            <w:r w:rsidRPr="00BE605D">
              <w:rPr>
                <w:rFonts w:ascii="Arial" w:hAnsi="Arial" w:cs="Arial"/>
                <w:b/>
                <w:bCs/>
                <w:color w:val="00B050"/>
                <w:sz w:val="20"/>
                <w:szCs w:val="20"/>
              </w:rPr>
              <w:sym w:font="Wingdings" w:char="F0FC"/>
            </w:r>
          </w:p>
        </w:tc>
        <w:tc>
          <w:tcPr>
            <w:tcW w:w="1440" w:type="dxa"/>
            <w:vAlign w:val="center"/>
          </w:tcPr>
          <w:p w14:paraId="789D5F12" w14:textId="77777777" w:rsidR="00BE605D" w:rsidRPr="00BE605D" w:rsidRDefault="00BE605D" w:rsidP="00BE605D">
            <w:pPr>
              <w:jc w:val="center"/>
              <w:rPr>
                <w:rFonts w:ascii="Arial" w:hAnsi="Arial" w:cs="Arial"/>
                <w:bCs/>
                <w:sz w:val="20"/>
                <w:szCs w:val="20"/>
              </w:rPr>
            </w:pPr>
            <w:r w:rsidRPr="00BE605D">
              <w:rPr>
                <w:rFonts w:ascii="Arial" w:hAnsi="Arial" w:cs="Arial"/>
                <w:bCs/>
                <w:sz w:val="20"/>
                <w:szCs w:val="20"/>
              </w:rPr>
              <w:t>4</w:t>
            </w:r>
          </w:p>
        </w:tc>
      </w:tr>
    </w:tbl>
    <w:p w14:paraId="098559FB" w14:textId="77777777" w:rsidR="00BE605D" w:rsidRPr="00BE605D" w:rsidRDefault="00BE605D" w:rsidP="00BE605D">
      <w:pPr>
        <w:spacing w:before="40"/>
        <w:rPr>
          <w:rFonts w:ascii="Arial" w:hAnsi="Arial" w:cs="Arial"/>
          <w:sz w:val="18"/>
          <w:szCs w:val="18"/>
        </w:rPr>
      </w:pPr>
      <w:r w:rsidRPr="00BE605D">
        <w:rPr>
          <w:rFonts w:ascii="Arial" w:hAnsi="Arial" w:cs="Arial"/>
          <w:sz w:val="18"/>
          <w:szCs w:val="18"/>
          <w:vertAlign w:val="superscript"/>
        </w:rPr>
        <w:t>1</w:t>
      </w:r>
      <w:r w:rsidRPr="00BE605D">
        <w:rPr>
          <w:rFonts w:ascii="Arial" w:hAnsi="Arial" w:cs="Arial"/>
          <w:sz w:val="18"/>
          <w:szCs w:val="18"/>
        </w:rPr>
        <w:t>Percent difference between 2014 and 2016 prevalence rates; cells showing decreases are shaded with green</w:t>
      </w:r>
    </w:p>
    <w:p w14:paraId="5BD9B013" w14:textId="77777777" w:rsidR="00BE605D" w:rsidRPr="00BE605D" w:rsidRDefault="00BE605D" w:rsidP="00BE605D">
      <w:pPr>
        <w:rPr>
          <w:rFonts w:ascii="Arial" w:hAnsi="Arial" w:cs="Arial"/>
          <w:sz w:val="18"/>
          <w:szCs w:val="18"/>
        </w:rPr>
      </w:pPr>
      <w:r w:rsidRPr="00BE605D">
        <w:rPr>
          <w:rFonts w:ascii="Arial" w:hAnsi="Arial" w:cs="Arial"/>
          <w:sz w:val="18"/>
          <w:szCs w:val="18"/>
          <w:vertAlign w:val="superscript"/>
        </w:rPr>
        <w:t>2</w:t>
      </w:r>
      <w:r w:rsidRPr="00BE605D">
        <w:rPr>
          <w:rFonts w:ascii="Arial" w:hAnsi="Arial" w:cs="Arial"/>
          <w:sz w:val="18"/>
          <w:szCs w:val="18"/>
        </w:rPr>
        <w:t>Percent difference between 2014 and 2016 prevalence rates</w:t>
      </w:r>
    </w:p>
    <w:p w14:paraId="4944A417" w14:textId="77777777" w:rsidR="00BE605D" w:rsidRPr="00BE605D" w:rsidRDefault="00BE605D" w:rsidP="00BE605D">
      <w:pPr>
        <w:rPr>
          <w:rFonts w:ascii="Arial" w:hAnsi="Arial" w:cs="Arial"/>
          <w:sz w:val="18"/>
          <w:szCs w:val="18"/>
        </w:rPr>
      </w:pPr>
      <w:r w:rsidRPr="00BE605D">
        <w:rPr>
          <w:rFonts w:ascii="Arial" w:hAnsi="Arial" w:cs="Arial"/>
          <w:sz w:val="18"/>
          <w:szCs w:val="18"/>
          <w:vertAlign w:val="superscript"/>
        </w:rPr>
        <w:t>3</w:t>
      </w:r>
      <w:r w:rsidRPr="00BE605D">
        <w:rPr>
          <w:rFonts w:ascii="Arial" w:hAnsi="Arial" w:cs="Arial"/>
          <w:sz w:val="18"/>
          <w:szCs w:val="18"/>
        </w:rPr>
        <w:t>Checked if a greater decrease (or less of an increase) was observed for PFS compared to non-funded areas.</w:t>
      </w:r>
    </w:p>
    <w:p w14:paraId="6957E25D" w14:textId="77777777" w:rsidR="00BE605D" w:rsidRPr="00BE605D" w:rsidRDefault="00BE605D" w:rsidP="00BE605D">
      <w:pPr>
        <w:rPr>
          <w:rFonts w:ascii="Arial" w:hAnsi="Arial" w:cs="Arial"/>
          <w:sz w:val="18"/>
          <w:szCs w:val="18"/>
        </w:rPr>
      </w:pPr>
      <w:r w:rsidRPr="00BE605D">
        <w:rPr>
          <w:rFonts w:ascii="Arial" w:hAnsi="Arial" w:cs="Arial"/>
          <w:sz w:val="18"/>
          <w:szCs w:val="18"/>
        </w:rPr>
        <w:t xml:space="preserve">  None of the differences were statistically significant.</w:t>
      </w:r>
    </w:p>
    <w:p w14:paraId="6B940C15" w14:textId="77777777" w:rsidR="00BE605D" w:rsidRPr="00BE605D" w:rsidRDefault="00BE605D" w:rsidP="00BE605D">
      <w:pPr>
        <w:ind w:left="144" w:hanging="144"/>
        <w:rPr>
          <w:rFonts w:ascii="Arial" w:hAnsi="Arial" w:cs="Arial"/>
          <w:sz w:val="18"/>
          <w:szCs w:val="18"/>
        </w:rPr>
      </w:pPr>
      <w:r w:rsidRPr="00BE605D">
        <w:rPr>
          <w:rFonts w:ascii="Arial" w:hAnsi="Arial" w:cs="Arial"/>
          <w:sz w:val="18"/>
          <w:szCs w:val="18"/>
          <w:vertAlign w:val="superscript"/>
        </w:rPr>
        <w:t>4</w:t>
      </w:r>
      <w:r w:rsidRPr="00BE605D">
        <w:rPr>
          <w:rFonts w:ascii="Arial" w:hAnsi="Arial" w:cs="Arial"/>
          <w:sz w:val="18"/>
          <w:szCs w:val="18"/>
        </w:rPr>
        <w:t>Current use refers to use within the past 30 days. Binge drinking is defined as having 5 or more drinks (if male) or 4 or more drinks (if female) on one occasion within the past 30 days.</w:t>
      </w:r>
    </w:p>
    <w:p w14:paraId="29A07CF6" w14:textId="77777777" w:rsidR="00BE605D" w:rsidRPr="00BE605D" w:rsidRDefault="00BE605D" w:rsidP="00BE605D">
      <w:pPr>
        <w:ind w:left="144" w:hanging="144"/>
        <w:rPr>
          <w:rFonts w:ascii="Arial" w:hAnsi="Arial" w:cs="Arial"/>
          <w:sz w:val="18"/>
          <w:szCs w:val="18"/>
        </w:rPr>
      </w:pPr>
      <w:r w:rsidRPr="00BE605D">
        <w:rPr>
          <w:rFonts w:ascii="Arial" w:hAnsi="Arial" w:cs="Arial"/>
          <w:sz w:val="18"/>
          <w:szCs w:val="18"/>
          <w:vertAlign w:val="superscript"/>
        </w:rPr>
        <w:t>5</w:t>
      </w:r>
      <w:r w:rsidRPr="00BE605D">
        <w:rPr>
          <w:rFonts w:ascii="Arial" w:hAnsi="Arial" w:cs="Arial"/>
          <w:sz w:val="18"/>
          <w:szCs w:val="18"/>
        </w:rPr>
        <w:t>Or respondent reported that they did not know the risk.</w:t>
      </w:r>
      <w:bookmarkStart w:id="11" w:name="_GoBack"/>
      <w:bookmarkEnd w:id="11"/>
    </w:p>
    <w:p w14:paraId="6E1E3A1E" w14:textId="77777777" w:rsidR="00ED2C1F" w:rsidRPr="00FD01DD" w:rsidRDefault="00ED2C1F" w:rsidP="00F02297">
      <w:pPr>
        <w:pStyle w:val="H1"/>
        <w:spacing w:after="280"/>
      </w:pPr>
      <w:bookmarkStart w:id="12" w:name="_Toc470697747"/>
      <w:r w:rsidRPr="00FD01DD">
        <w:lastRenderedPageBreak/>
        <w:t>Discussion and Implications</w:t>
      </w:r>
      <w:bookmarkEnd w:id="12"/>
    </w:p>
    <w:p w14:paraId="18A8735B" w14:textId="77777777" w:rsidR="000F7C82" w:rsidRPr="00A40E95" w:rsidRDefault="00A40E95" w:rsidP="00F02297">
      <w:pPr>
        <w:pStyle w:val="H2"/>
        <w:spacing w:after="200"/>
      </w:pPr>
      <w:bookmarkStart w:id="13" w:name="_Toc470697748"/>
      <w:r w:rsidRPr="00A40E95">
        <w:t>Unique f</w:t>
      </w:r>
      <w:r w:rsidR="000F7C82" w:rsidRPr="00A40E95">
        <w:t>eatures of Vermont’s PFS</w:t>
      </w:r>
      <w:bookmarkEnd w:id="13"/>
    </w:p>
    <w:p w14:paraId="115E379D" w14:textId="77777777" w:rsidR="000F7C82" w:rsidRPr="000F7C82" w:rsidRDefault="000F7C82" w:rsidP="000F7C82">
      <w:pPr>
        <w:spacing w:after="200" w:line="276" w:lineRule="auto"/>
        <w:rPr>
          <w:rFonts w:ascii="Arial" w:hAnsi="Arial" w:cs="Arial"/>
        </w:rPr>
      </w:pPr>
      <w:r w:rsidRPr="000F7C82">
        <w:rPr>
          <w:rFonts w:ascii="Arial" w:hAnsi="Arial" w:cs="Arial"/>
        </w:rPr>
        <w:t xml:space="preserve">The design and execution of </w:t>
      </w:r>
      <w:smartTag w:uri="urn:schemas-microsoft-com:office:smarttags" w:element="place">
        <w:smartTag w:uri="urn:schemas-microsoft-com:office:smarttags" w:element="State">
          <w:r w:rsidRPr="000F7C82">
            <w:rPr>
              <w:rFonts w:ascii="Arial" w:hAnsi="Arial" w:cs="Arial"/>
            </w:rPr>
            <w:t>Vermont</w:t>
          </w:r>
        </w:smartTag>
      </w:smartTag>
      <w:r w:rsidRPr="000F7C82">
        <w:rPr>
          <w:rFonts w:ascii="Arial" w:hAnsi="Arial" w:cs="Arial"/>
        </w:rPr>
        <w:t xml:space="preserve">’s PFS II grant was groundbreaking in two important ways.  First, it shifted the organization and focus of the substance abuse prevention services it </w:t>
      </w:r>
      <w:r w:rsidR="005853C0">
        <w:rPr>
          <w:rFonts w:ascii="Arial" w:hAnsi="Arial" w:cs="Arial"/>
        </w:rPr>
        <w:t>funded</w:t>
      </w:r>
      <w:r w:rsidRPr="000F7C82">
        <w:rPr>
          <w:rFonts w:ascii="Arial" w:hAnsi="Arial" w:cs="Arial"/>
        </w:rPr>
        <w:t xml:space="preserve"> from the community-specific approach traditionally used in Vermont to a regional approach.  Second, more </w:t>
      </w:r>
      <w:r w:rsidR="00DB2B58">
        <w:rPr>
          <w:rFonts w:ascii="Arial" w:hAnsi="Arial" w:cs="Arial"/>
        </w:rPr>
        <w:t xml:space="preserve">so </w:t>
      </w:r>
      <w:r w:rsidRPr="000F7C82">
        <w:rPr>
          <w:rFonts w:ascii="Arial" w:hAnsi="Arial" w:cs="Arial"/>
        </w:rPr>
        <w:t xml:space="preserve">than </w:t>
      </w:r>
      <w:r w:rsidR="00DB2B58">
        <w:rPr>
          <w:rFonts w:ascii="Arial" w:hAnsi="Arial" w:cs="Arial"/>
        </w:rPr>
        <w:t xml:space="preserve">previous SAMHSA-funded </w:t>
      </w:r>
      <w:r w:rsidRPr="000F7C82">
        <w:rPr>
          <w:rFonts w:ascii="Arial" w:hAnsi="Arial" w:cs="Arial"/>
        </w:rPr>
        <w:t xml:space="preserve">prevention initiatives in the state, there was </w:t>
      </w:r>
      <w:r w:rsidR="00DB2B58">
        <w:rPr>
          <w:rFonts w:ascii="Arial" w:hAnsi="Arial" w:cs="Arial"/>
        </w:rPr>
        <w:t xml:space="preserve">a </w:t>
      </w:r>
      <w:r w:rsidRPr="000F7C82">
        <w:rPr>
          <w:rFonts w:ascii="Arial" w:hAnsi="Arial" w:cs="Arial"/>
        </w:rPr>
        <w:t xml:space="preserve">strong and explicit emphasis on </w:t>
      </w:r>
      <w:r w:rsidR="006F2B32">
        <w:rPr>
          <w:rFonts w:ascii="Arial" w:hAnsi="Arial" w:cs="Arial"/>
        </w:rPr>
        <w:t xml:space="preserve">the use of </w:t>
      </w:r>
      <w:r w:rsidRPr="000F7C82">
        <w:rPr>
          <w:rFonts w:ascii="Arial" w:hAnsi="Arial" w:cs="Arial"/>
        </w:rPr>
        <w:t>environmental strategies.</w:t>
      </w:r>
    </w:p>
    <w:p w14:paraId="6688356F" w14:textId="77777777" w:rsidR="006F2B32" w:rsidRDefault="000F7C82" w:rsidP="000F7C82">
      <w:pPr>
        <w:spacing w:after="200" w:line="276" w:lineRule="auto"/>
        <w:rPr>
          <w:rFonts w:ascii="Arial" w:hAnsi="Arial" w:cs="Arial"/>
        </w:rPr>
      </w:pPr>
      <w:r w:rsidRPr="000F7C82">
        <w:rPr>
          <w:rFonts w:ascii="Arial" w:hAnsi="Arial" w:cs="Arial"/>
        </w:rPr>
        <w:t xml:space="preserve">In past years, substance use prevention funds from the state’s SAPT Block Grant and various discretionary grants have been allocated </w:t>
      </w:r>
      <w:r w:rsidR="006F2B32">
        <w:rPr>
          <w:rFonts w:ascii="Arial" w:hAnsi="Arial" w:cs="Arial"/>
        </w:rPr>
        <w:t xml:space="preserve">primarily </w:t>
      </w:r>
      <w:r w:rsidRPr="000F7C82">
        <w:rPr>
          <w:rFonts w:ascii="Arial" w:hAnsi="Arial" w:cs="Arial"/>
        </w:rPr>
        <w:t>to community-based organizations serving individual communities or small groups of communities, sometimes as defined by Supervisory Union service areas.  Although this approach recognized and to at least some degree was able to accommodate the unique needs, preferences, and contexts of individual communities, the funding per community was modest given the large numbers of eligible communities throughout the state.  The approach adopted by the PFS II grant recognized that certain efficiencies could be gained by consolidating funding at a higher geographic level, rather than having multiple community-based organizations within the same regions each developing and implementing their own community-specific interventions</w:t>
      </w:r>
      <w:r w:rsidR="00E90FDB">
        <w:rPr>
          <w:rFonts w:ascii="Arial" w:hAnsi="Arial" w:cs="Arial"/>
        </w:rPr>
        <w:t xml:space="preserve"> with very limited resources</w:t>
      </w:r>
      <w:r w:rsidRPr="000F7C82">
        <w:rPr>
          <w:rFonts w:ascii="Arial" w:hAnsi="Arial" w:cs="Arial"/>
        </w:rPr>
        <w:t>.  The PFS approach was also well suited to the heightened emphasis on environmental strategies, of which at least so</w:t>
      </w:r>
      <w:r w:rsidR="006F2B32">
        <w:rPr>
          <w:rFonts w:ascii="Arial" w:hAnsi="Arial" w:cs="Arial"/>
        </w:rPr>
        <w:t xml:space="preserve">me may </w:t>
      </w:r>
      <w:r w:rsidRPr="000F7C82">
        <w:rPr>
          <w:rFonts w:ascii="Arial" w:hAnsi="Arial" w:cs="Arial"/>
        </w:rPr>
        <w:t>be more efficiently and effectively implemented at a regional level.</w:t>
      </w:r>
    </w:p>
    <w:p w14:paraId="1276D465" w14:textId="77777777" w:rsidR="000F7C82" w:rsidRDefault="000F7C82" w:rsidP="000F7C82">
      <w:pPr>
        <w:spacing w:after="200" w:line="276" w:lineRule="auto"/>
        <w:rPr>
          <w:rFonts w:ascii="Arial" w:hAnsi="Arial" w:cs="Arial"/>
        </w:rPr>
      </w:pPr>
      <w:r w:rsidRPr="000F7C82">
        <w:rPr>
          <w:rFonts w:ascii="Arial" w:hAnsi="Arial" w:cs="Arial"/>
        </w:rPr>
        <w:t>Findings from this evaluation suggest that although the transition to a regional structure encountered some challenges in the early stages, it has nevertheless gone reasonably well.  It appears to have enhanced coordination and sharing of expertise across organizations within each region and also facilitated more efficient implementation of certain activities that transcend community boundaries</w:t>
      </w:r>
      <w:r w:rsidR="005405BF">
        <w:rPr>
          <w:rFonts w:ascii="Arial" w:hAnsi="Arial" w:cs="Arial"/>
        </w:rPr>
        <w:t xml:space="preserve"> (e.g., communications campaigns and media advocacy)</w:t>
      </w:r>
      <w:r w:rsidRPr="000F7C82">
        <w:rPr>
          <w:rFonts w:ascii="Arial" w:hAnsi="Arial" w:cs="Arial"/>
        </w:rPr>
        <w:t xml:space="preserve">.  </w:t>
      </w:r>
      <w:r w:rsidR="00557B8D">
        <w:rPr>
          <w:rFonts w:ascii="Arial" w:hAnsi="Arial" w:cs="Arial"/>
        </w:rPr>
        <w:t>A</w:t>
      </w:r>
      <w:r w:rsidRPr="000F7C82">
        <w:rPr>
          <w:rFonts w:ascii="Arial" w:hAnsi="Arial" w:cs="Arial"/>
        </w:rPr>
        <w:t>lthough still to be determined, it would seem that this regional approach will be more stable and sustainable into the future</w:t>
      </w:r>
      <w:r w:rsidR="007833FC">
        <w:rPr>
          <w:rFonts w:ascii="Arial" w:hAnsi="Arial" w:cs="Arial"/>
        </w:rPr>
        <w:t xml:space="preserve"> as compared to funding individual communities</w:t>
      </w:r>
      <w:r w:rsidRPr="000F7C82">
        <w:rPr>
          <w:rFonts w:ascii="Arial" w:hAnsi="Arial" w:cs="Arial"/>
        </w:rPr>
        <w:t xml:space="preserve">.  This expectation is based on the recognition that structural elements that can help support regional prevention efforts, such as the Health District Offices and Regional Prevention Consultants, will remain in place </w:t>
      </w:r>
      <w:r w:rsidR="006F2B32">
        <w:rPr>
          <w:rFonts w:ascii="Arial" w:hAnsi="Arial" w:cs="Arial"/>
        </w:rPr>
        <w:t xml:space="preserve">over time </w:t>
      </w:r>
      <w:r w:rsidRPr="000F7C82">
        <w:rPr>
          <w:rFonts w:ascii="Arial" w:hAnsi="Arial" w:cs="Arial"/>
        </w:rPr>
        <w:t xml:space="preserve">even as grant funding </w:t>
      </w:r>
      <w:r w:rsidR="006F2B32">
        <w:rPr>
          <w:rFonts w:ascii="Arial" w:hAnsi="Arial" w:cs="Arial"/>
        </w:rPr>
        <w:t>levels fluctuate</w:t>
      </w:r>
      <w:r w:rsidRPr="000F7C82">
        <w:rPr>
          <w:rFonts w:ascii="Arial" w:hAnsi="Arial" w:cs="Arial"/>
        </w:rPr>
        <w:t>.  Additionally, lead agencies operating at a regional level may be better able to weather temporary reductions and lapses in funding than smaller community-based organizations.</w:t>
      </w:r>
      <w:r w:rsidR="00957799">
        <w:rPr>
          <w:rFonts w:ascii="Arial" w:hAnsi="Arial" w:cs="Arial"/>
        </w:rPr>
        <w:t xml:space="preserve">  </w:t>
      </w:r>
    </w:p>
    <w:p w14:paraId="73BEDDD6" w14:textId="77777777" w:rsidR="005853C0" w:rsidRDefault="00557B8D" w:rsidP="000F7C82">
      <w:pPr>
        <w:spacing w:after="200" w:line="276" w:lineRule="auto"/>
        <w:rPr>
          <w:rFonts w:ascii="Arial" w:hAnsi="Arial" w:cs="Arial"/>
        </w:rPr>
      </w:pPr>
      <w:r>
        <w:rPr>
          <w:rFonts w:ascii="Arial" w:hAnsi="Arial" w:cs="Arial"/>
        </w:rPr>
        <w:t xml:space="preserve">It was also noted by some grantees that the regional approach adopted by Vermont’s PFS led to increased services to communities </w:t>
      </w:r>
      <w:r w:rsidR="006E3AFD">
        <w:rPr>
          <w:rFonts w:ascii="Arial" w:hAnsi="Arial" w:cs="Arial"/>
        </w:rPr>
        <w:t xml:space="preserve">that had limited capacity and </w:t>
      </w:r>
      <w:r>
        <w:rPr>
          <w:rFonts w:ascii="Arial" w:hAnsi="Arial" w:cs="Arial"/>
        </w:rPr>
        <w:t xml:space="preserve">participation by community partners that </w:t>
      </w:r>
      <w:r w:rsidR="006E3AFD">
        <w:rPr>
          <w:rFonts w:ascii="Arial" w:hAnsi="Arial" w:cs="Arial"/>
        </w:rPr>
        <w:t>had not previously been engaged in substance use prevention efforts.  Even so, it was still the case that many interventions were implemented only in a single community or a subset of communities throughout each grantee’s service area.  An</w:t>
      </w:r>
      <w:r w:rsidR="005853C0">
        <w:rPr>
          <w:rFonts w:ascii="Arial" w:hAnsi="Arial" w:cs="Arial"/>
        </w:rPr>
        <w:t xml:space="preserve"> important </w:t>
      </w:r>
      <w:r w:rsidR="006E3AFD">
        <w:rPr>
          <w:rFonts w:ascii="Arial" w:hAnsi="Arial" w:cs="Arial"/>
        </w:rPr>
        <w:t xml:space="preserve">continuing </w:t>
      </w:r>
      <w:r w:rsidR="005853C0">
        <w:rPr>
          <w:rFonts w:ascii="Arial" w:hAnsi="Arial" w:cs="Arial"/>
        </w:rPr>
        <w:t xml:space="preserve">challenge in Vermont’s </w:t>
      </w:r>
      <w:r w:rsidR="006E3AFD">
        <w:rPr>
          <w:rFonts w:ascii="Arial" w:hAnsi="Arial" w:cs="Arial"/>
        </w:rPr>
        <w:t xml:space="preserve">regional </w:t>
      </w:r>
      <w:r w:rsidR="005853C0">
        <w:rPr>
          <w:rFonts w:ascii="Arial" w:hAnsi="Arial" w:cs="Arial"/>
        </w:rPr>
        <w:t xml:space="preserve">approach </w:t>
      </w:r>
      <w:r w:rsidR="006E3AFD">
        <w:rPr>
          <w:rFonts w:ascii="Arial" w:hAnsi="Arial" w:cs="Arial"/>
        </w:rPr>
        <w:t xml:space="preserve">will be </w:t>
      </w:r>
      <w:r w:rsidR="00DB2B58">
        <w:rPr>
          <w:rFonts w:ascii="Arial" w:hAnsi="Arial" w:cs="Arial"/>
        </w:rPr>
        <w:t>that of serving</w:t>
      </w:r>
      <w:r w:rsidR="005853C0">
        <w:rPr>
          <w:rFonts w:ascii="Arial" w:hAnsi="Arial" w:cs="Arial"/>
        </w:rPr>
        <w:t xml:space="preserve"> to the extent possible </w:t>
      </w:r>
      <w:r w:rsidR="005853C0" w:rsidRPr="00957799">
        <w:rPr>
          <w:rFonts w:ascii="Arial" w:hAnsi="Arial" w:cs="Arial"/>
          <w:u w:val="single"/>
        </w:rPr>
        <w:t>all</w:t>
      </w:r>
      <w:r w:rsidR="005853C0">
        <w:rPr>
          <w:rFonts w:ascii="Arial" w:hAnsi="Arial" w:cs="Arial"/>
        </w:rPr>
        <w:t xml:space="preserve"> communities within each funded region in the selected interventions.  </w:t>
      </w:r>
    </w:p>
    <w:p w14:paraId="7C514EF4" w14:textId="77777777" w:rsidR="005853C0" w:rsidRPr="000F7C82" w:rsidRDefault="005853C0" w:rsidP="000F7C82">
      <w:pPr>
        <w:spacing w:after="200" w:line="276" w:lineRule="auto"/>
        <w:rPr>
          <w:rFonts w:ascii="Arial" w:hAnsi="Arial" w:cs="Arial"/>
        </w:rPr>
      </w:pPr>
    </w:p>
    <w:p w14:paraId="564EDC5A" w14:textId="222C0237" w:rsidR="00BF1951" w:rsidRDefault="00C2513F" w:rsidP="00D36CCC">
      <w:pPr>
        <w:spacing w:after="280"/>
        <w:rPr>
          <w:rFonts w:ascii="Arial" w:hAnsi="Arial" w:cs="Arial"/>
        </w:rPr>
      </w:pPr>
      <w:r>
        <w:rPr>
          <w:rFonts w:ascii="Arial" w:hAnsi="Arial" w:cs="Arial"/>
        </w:rPr>
        <w:lastRenderedPageBreak/>
        <w:t xml:space="preserve">Regarding the second distinctive feature of </w:t>
      </w:r>
      <w:r w:rsidR="007833FC">
        <w:rPr>
          <w:rFonts w:ascii="Arial" w:hAnsi="Arial" w:cs="Arial"/>
        </w:rPr>
        <w:t xml:space="preserve">Vermont’s </w:t>
      </w:r>
      <w:r>
        <w:rPr>
          <w:rFonts w:ascii="Arial" w:hAnsi="Arial" w:cs="Arial"/>
        </w:rPr>
        <w:t>PFS II, the requirement that grantees implement certain ty</w:t>
      </w:r>
      <w:r w:rsidR="00863C01">
        <w:rPr>
          <w:rFonts w:ascii="Arial" w:hAnsi="Arial" w:cs="Arial"/>
        </w:rPr>
        <w:t>pes of environmental strategies</w:t>
      </w:r>
      <w:r>
        <w:rPr>
          <w:rFonts w:ascii="Arial" w:hAnsi="Arial" w:cs="Arial"/>
        </w:rPr>
        <w:t xml:space="preserve"> whereas educational strategies were optional, continued a trend away from </w:t>
      </w:r>
      <w:r w:rsidR="00E90FDB">
        <w:rPr>
          <w:rFonts w:ascii="Arial" w:hAnsi="Arial" w:cs="Arial"/>
        </w:rPr>
        <w:t xml:space="preserve">prevention </w:t>
      </w:r>
      <w:r>
        <w:rPr>
          <w:rFonts w:ascii="Arial" w:hAnsi="Arial" w:cs="Arial"/>
        </w:rPr>
        <w:t>programs targeted primarily to small groups of individu</w:t>
      </w:r>
      <w:r w:rsidR="006E3AFD">
        <w:rPr>
          <w:rFonts w:ascii="Arial" w:hAnsi="Arial" w:cs="Arial"/>
        </w:rPr>
        <w:t xml:space="preserve">als.  This shift recognizes that such programs are most likely insufficient to </w:t>
      </w:r>
      <w:r>
        <w:rPr>
          <w:rFonts w:ascii="Arial" w:hAnsi="Arial" w:cs="Arial"/>
        </w:rPr>
        <w:t>influence population-level change in substance use behaviors</w:t>
      </w:r>
      <w:r w:rsidR="006E3AFD">
        <w:rPr>
          <w:rFonts w:ascii="Arial" w:hAnsi="Arial" w:cs="Arial"/>
        </w:rPr>
        <w:t xml:space="preserve">, especially those </w:t>
      </w:r>
      <w:r>
        <w:rPr>
          <w:rFonts w:ascii="Arial" w:hAnsi="Arial" w:cs="Arial"/>
        </w:rPr>
        <w:t>that are widely prevalent</w:t>
      </w:r>
      <w:r w:rsidR="006E3AFD">
        <w:rPr>
          <w:rFonts w:ascii="Arial" w:hAnsi="Arial" w:cs="Arial"/>
        </w:rPr>
        <w:t xml:space="preserve"> such as underage drinking</w:t>
      </w:r>
      <w:r>
        <w:rPr>
          <w:rFonts w:ascii="Arial" w:hAnsi="Arial" w:cs="Arial"/>
        </w:rPr>
        <w:t xml:space="preserve">.  </w:t>
      </w:r>
      <w:r w:rsidR="00863C01">
        <w:rPr>
          <w:rFonts w:ascii="Arial" w:hAnsi="Arial" w:cs="Arial"/>
        </w:rPr>
        <w:t xml:space="preserve">In order to make population-level changes attainable, it is important that educational programs, when implemented, reach sizeable proportions of the target population.   Although some PFS grantees </w:t>
      </w:r>
      <w:r w:rsidR="00A11F74">
        <w:rPr>
          <w:rFonts w:ascii="Arial" w:hAnsi="Arial" w:cs="Arial"/>
        </w:rPr>
        <w:t>elect</w:t>
      </w:r>
      <w:r w:rsidR="00863C01">
        <w:rPr>
          <w:rFonts w:ascii="Arial" w:hAnsi="Arial" w:cs="Arial"/>
        </w:rPr>
        <w:t>ed</w:t>
      </w:r>
      <w:r w:rsidR="00A11F74">
        <w:rPr>
          <w:rFonts w:ascii="Arial" w:hAnsi="Arial" w:cs="Arial"/>
        </w:rPr>
        <w:t xml:space="preserve"> to implement one or more </w:t>
      </w:r>
      <w:r w:rsidR="00863C01">
        <w:rPr>
          <w:rFonts w:ascii="Arial" w:hAnsi="Arial" w:cs="Arial"/>
        </w:rPr>
        <w:t xml:space="preserve">educational </w:t>
      </w:r>
      <w:r w:rsidR="00A11F74">
        <w:rPr>
          <w:rFonts w:ascii="Arial" w:hAnsi="Arial" w:cs="Arial"/>
        </w:rPr>
        <w:t xml:space="preserve">strategies that </w:t>
      </w:r>
      <w:r w:rsidR="00863C01">
        <w:rPr>
          <w:rFonts w:ascii="Arial" w:hAnsi="Arial" w:cs="Arial"/>
        </w:rPr>
        <w:t xml:space="preserve">served </w:t>
      </w:r>
      <w:r w:rsidR="00A11F74">
        <w:rPr>
          <w:rFonts w:ascii="Arial" w:hAnsi="Arial" w:cs="Arial"/>
        </w:rPr>
        <w:t>small numbers of participants</w:t>
      </w:r>
      <w:r w:rsidR="00863C01">
        <w:rPr>
          <w:rFonts w:ascii="Arial" w:hAnsi="Arial" w:cs="Arial"/>
        </w:rPr>
        <w:t xml:space="preserve"> (e.g., parent education programs</w:t>
      </w:r>
      <w:r w:rsidR="000854EA">
        <w:rPr>
          <w:rFonts w:ascii="Arial" w:hAnsi="Arial" w:cs="Arial"/>
        </w:rPr>
        <w:t>)</w:t>
      </w:r>
      <w:r w:rsidR="00863C01">
        <w:rPr>
          <w:rFonts w:ascii="Arial" w:hAnsi="Arial" w:cs="Arial"/>
        </w:rPr>
        <w:t xml:space="preserve">, </w:t>
      </w:r>
      <w:r w:rsidR="00A11F74">
        <w:rPr>
          <w:rFonts w:ascii="Arial" w:hAnsi="Arial" w:cs="Arial"/>
        </w:rPr>
        <w:t>there was also movement towards adopting interventions that can more realistically reach large</w:t>
      </w:r>
      <w:r w:rsidR="000854EA">
        <w:rPr>
          <w:rFonts w:ascii="Arial" w:hAnsi="Arial" w:cs="Arial"/>
        </w:rPr>
        <w:t>r</w:t>
      </w:r>
      <w:r w:rsidR="00A11F74">
        <w:rPr>
          <w:rFonts w:ascii="Arial" w:hAnsi="Arial" w:cs="Arial"/>
        </w:rPr>
        <w:t xml:space="preserve"> numbers of the target population, such as Alcohol Edu</w:t>
      </w:r>
      <w:r w:rsidR="000854EA">
        <w:rPr>
          <w:rFonts w:ascii="Arial" w:hAnsi="Arial" w:cs="Arial"/>
        </w:rPr>
        <w:t xml:space="preserve"> and </w:t>
      </w:r>
      <w:r w:rsidR="00A11F74">
        <w:rPr>
          <w:rFonts w:ascii="Arial" w:hAnsi="Arial" w:cs="Arial"/>
        </w:rPr>
        <w:t>eCheckup</w:t>
      </w:r>
      <w:r w:rsidR="00BF1951">
        <w:rPr>
          <w:rFonts w:ascii="Arial" w:hAnsi="Arial" w:cs="Arial"/>
        </w:rPr>
        <w:t xml:space="preserve">.  </w:t>
      </w:r>
    </w:p>
    <w:p w14:paraId="2A685053" w14:textId="77777777" w:rsidR="001E4A1F" w:rsidRDefault="00BF1951" w:rsidP="00D36CCC">
      <w:pPr>
        <w:spacing w:after="280"/>
        <w:rPr>
          <w:rFonts w:ascii="Arial" w:hAnsi="Arial" w:cs="Arial"/>
        </w:rPr>
      </w:pPr>
      <w:r>
        <w:rPr>
          <w:rFonts w:ascii="Arial" w:hAnsi="Arial" w:cs="Arial"/>
        </w:rPr>
        <w:t>An important goal for primary prevention effort</w:t>
      </w:r>
      <w:r w:rsidR="00DB2B58">
        <w:rPr>
          <w:rFonts w:ascii="Arial" w:hAnsi="Arial" w:cs="Arial"/>
        </w:rPr>
        <w:t>s</w:t>
      </w:r>
      <w:r>
        <w:rPr>
          <w:rFonts w:ascii="Arial" w:hAnsi="Arial" w:cs="Arial"/>
        </w:rPr>
        <w:t xml:space="preserve"> </w:t>
      </w:r>
      <w:r w:rsidR="00A11F74">
        <w:rPr>
          <w:rFonts w:ascii="Arial" w:hAnsi="Arial" w:cs="Arial"/>
        </w:rPr>
        <w:t xml:space="preserve">will be to </w:t>
      </w:r>
      <w:r>
        <w:rPr>
          <w:rFonts w:ascii="Arial" w:hAnsi="Arial" w:cs="Arial"/>
        </w:rPr>
        <w:t xml:space="preserve">continue to select and implement </w:t>
      </w:r>
      <w:r w:rsidR="00A11F74">
        <w:rPr>
          <w:rFonts w:ascii="Arial" w:hAnsi="Arial" w:cs="Arial"/>
        </w:rPr>
        <w:t xml:space="preserve">educational programs </w:t>
      </w:r>
      <w:r w:rsidR="00863C01">
        <w:rPr>
          <w:rFonts w:ascii="Arial" w:hAnsi="Arial" w:cs="Arial"/>
        </w:rPr>
        <w:t xml:space="preserve">that reach </w:t>
      </w:r>
      <w:r w:rsidR="00A11F74">
        <w:rPr>
          <w:rFonts w:ascii="Arial" w:hAnsi="Arial" w:cs="Arial"/>
        </w:rPr>
        <w:t>large</w:t>
      </w:r>
      <w:r>
        <w:rPr>
          <w:rFonts w:ascii="Arial" w:hAnsi="Arial" w:cs="Arial"/>
        </w:rPr>
        <w:t>r</w:t>
      </w:r>
      <w:r w:rsidR="00A11F74">
        <w:rPr>
          <w:rFonts w:ascii="Arial" w:hAnsi="Arial" w:cs="Arial"/>
        </w:rPr>
        <w:t xml:space="preserve"> numbers of individuals</w:t>
      </w:r>
      <w:r w:rsidR="00863C01">
        <w:rPr>
          <w:rFonts w:ascii="Arial" w:hAnsi="Arial" w:cs="Arial"/>
        </w:rPr>
        <w:t xml:space="preserve">.  </w:t>
      </w:r>
      <w:r w:rsidR="00A11F74">
        <w:rPr>
          <w:rFonts w:ascii="Arial" w:hAnsi="Arial" w:cs="Arial"/>
        </w:rPr>
        <w:t>In thi</w:t>
      </w:r>
      <w:r w:rsidR="00E90FDB">
        <w:rPr>
          <w:rFonts w:ascii="Arial" w:hAnsi="Arial" w:cs="Arial"/>
        </w:rPr>
        <w:t>s regard, it is somewhat surprisi</w:t>
      </w:r>
      <w:r w:rsidR="00A11F74">
        <w:rPr>
          <w:rFonts w:ascii="Arial" w:hAnsi="Arial" w:cs="Arial"/>
        </w:rPr>
        <w:t>ng</w:t>
      </w:r>
      <w:r w:rsidR="00E90FDB">
        <w:rPr>
          <w:rFonts w:ascii="Arial" w:hAnsi="Arial" w:cs="Arial"/>
        </w:rPr>
        <w:t xml:space="preserve"> that no grantees opted to use </w:t>
      </w:r>
      <w:r w:rsidR="00DB2B58">
        <w:rPr>
          <w:rFonts w:ascii="Arial" w:hAnsi="Arial" w:cs="Arial"/>
        </w:rPr>
        <w:t xml:space="preserve">a portion of </w:t>
      </w:r>
      <w:r w:rsidR="00E90FDB">
        <w:rPr>
          <w:rFonts w:ascii="Arial" w:hAnsi="Arial" w:cs="Arial"/>
        </w:rPr>
        <w:t xml:space="preserve">their PFS funds to support </w:t>
      </w:r>
      <w:r w:rsidR="004E14E6">
        <w:rPr>
          <w:rFonts w:ascii="Arial" w:hAnsi="Arial" w:cs="Arial"/>
        </w:rPr>
        <w:t xml:space="preserve">enhanced school-based prevention services, including </w:t>
      </w:r>
      <w:r w:rsidR="00E90FDB">
        <w:rPr>
          <w:rFonts w:ascii="Arial" w:hAnsi="Arial" w:cs="Arial"/>
        </w:rPr>
        <w:t>evidence-based school curricular programs, which can be efficiently implemented at a population level.  Of course, it could be that most or all of the schools in their service area were already implementing such programs with funding from other sources.  Given that a number of school-based programs have been shown to be effect</w:t>
      </w:r>
      <w:r w:rsidR="00DB2B58">
        <w:rPr>
          <w:rFonts w:ascii="Arial" w:hAnsi="Arial" w:cs="Arial"/>
        </w:rPr>
        <w:t>ive in reducing and preventing</w:t>
      </w:r>
      <w:r w:rsidR="00E90FDB">
        <w:rPr>
          <w:rFonts w:ascii="Arial" w:hAnsi="Arial" w:cs="Arial"/>
        </w:rPr>
        <w:t xml:space="preserve"> substance use behaviors among adolescents, it seems prudent that such pro</w:t>
      </w:r>
      <w:r w:rsidR="00DB2B58">
        <w:rPr>
          <w:rFonts w:ascii="Arial" w:hAnsi="Arial" w:cs="Arial"/>
        </w:rPr>
        <w:t xml:space="preserve">grams continue to be part of a </w:t>
      </w:r>
      <w:r w:rsidR="00E90FDB">
        <w:rPr>
          <w:rFonts w:ascii="Arial" w:hAnsi="Arial" w:cs="Arial"/>
        </w:rPr>
        <w:t xml:space="preserve">comprehensive substance abuse prevention strategy. </w:t>
      </w:r>
    </w:p>
    <w:p w14:paraId="7EDE3BA4" w14:textId="7A657903" w:rsidR="00863C01" w:rsidRPr="00A40E95" w:rsidRDefault="003A7B09" w:rsidP="00F02297">
      <w:pPr>
        <w:pStyle w:val="H2"/>
      </w:pPr>
      <w:bookmarkStart w:id="14" w:name="_Toc470697749"/>
      <w:r>
        <w:t xml:space="preserve">PFS </w:t>
      </w:r>
      <w:r w:rsidR="00D8753B">
        <w:t>i</w:t>
      </w:r>
      <w:r w:rsidR="00863C01" w:rsidRPr="00A40E95">
        <w:t>mplementation</w:t>
      </w:r>
      <w:bookmarkEnd w:id="14"/>
    </w:p>
    <w:p w14:paraId="2EA30B53" w14:textId="77777777" w:rsidR="00863C01" w:rsidRPr="00863C01" w:rsidRDefault="00863C01" w:rsidP="00863C01">
      <w:pPr>
        <w:rPr>
          <w:rFonts w:ascii="Arial" w:hAnsi="Arial" w:cs="Arial"/>
          <w:color w:val="000000"/>
        </w:rPr>
      </w:pPr>
      <w:r w:rsidRPr="00863C01">
        <w:rPr>
          <w:rFonts w:ascii="Arial" w:hAnsi="Arial" w:cs="Arial"/>
          <w:color w:val="000000"/>
        </w:rPr>
        <w:t> </w:t>
      </w:r>
    </w:p>
    <w:p w14:paraId="2E8828C7" w14:textId="4E90C97B" w:rsidR="000D49E4" w:rsidRPr="000D49E4" w:rsidRDefault="000D49E4" w:rsidP="000D49E4">
      <w:pPr>
        <w:rPr>
          <w:rFonts w:ascii="Arial" w:hAnsi="Arial" w:cs="Arial"/>
          <w:color w:val="000000"/>
        </w:rPr>
      </w:pPr>
      <w:r w:rsidRPr="000D49E4">
        <w:rPr>
          <w:rFonts w:ascii="Arial" w:hAnsi="Arial" w:cs="Arial"/>
          <w:color w:val="000000"/>
        </w:rPr>
        <w:t xml:space="preserve">Implementation issues regarding the transition to a regional prevention system and the increased emphasis on environmental strategies are discussed in the preceding </w:t>
      </w:r>
      <w:r>
        <w:rPr>
          <w:rFonts w:ascii="Arial" w:hAnsi="Arial" w:cs="Arial"/>
          <w:color w:val="000000"/>
        </w:rPr>
        <w:t>section.  Information</w:t>
      </w:r>
      <w:r w:rsidRPr="000D49E4">
        <w:rPr>
          <w:rFonts w:ascii="Arial" w:hAnsi="Arial" w:cs="Arial"/>
          <w:color w:val="000000"/>
        </w:rPr>
        <w:t xml:space="preserve"> related to the quality (or fidelity) of implementation for specific interventions was limited largely to the progress ratings provided through CGRS along with narrative reports and other communications from the grantees.  Based on this information, grantees were able to implement most of the core activities associated with most of the interventions they conducted, thereby meeting at least one criterion for fidelity of implementation. Other aspects of implementation, however, could not be readily assessed.  These include the quality of implementation (i.e., how well core activities were done), the intensity of implementation</w:t>
      </w:r>
      <w:r w:rsidR="003A7B09">
        <w:rPr>
          <w:rFonts w:ascii="Arial" w:hAnsi="Arial" w:cs="Arial"/>
          <w:color w:val="000000"/>
        </w:rPr>
        <w:t>, and the reach of each</w:t>
      </w:r>
      <w:r w:rsidRPr="000D49E4">
        <w:rPr>
          <w:rFonts w:ascii="Arial" w:hAnsi="Arial" w:cs="Arial"/>
          <w:color w:val="000000"/>
        </w:rPr>
        <w:t xml:space="preserve"> intervention.  Even though some intensity and reach measures were collected (e.g., numbers of enhanced law enforcement operations conducted; number of participants in a parent education program), there are no well-developed standards for determining what is satisfactory or sufficient, other than more is probably better than less.  In that respect, it is possible that all the interventions implemented may have contributed in small ways to the favorable patterns observed in the outcome data.  To the extent that the PFS-funded activities were responsible for the outcomes observed, however, the interventions that at least potentially may have reached the entire target population would seem most likely to have made the largest contributions to the overall success of PFS.</w:t>
      </w:r>
    </w:p>
    <w:p w14:paraId="63756B4F" w14:textId="77777777" w:rsidR="00A40E95" w:rsidRDefault="00A40E95" w:rsidP="00863C01">
      <w:pPr>
        <w:rPr>
          <w:rFonts w:ascii="Arial" w:hAnsi="Arial" w:cs="Arial"/>
          <w:color w:val="000000"/>
        </w:rPr>
      </w:pPr>
    </w:p>
    <w:p w14:paraId="2AA2AA84" w14:textId="3994F0FD" w:rsidR="00863C01" w:rsidRPr="00A40E95" w:rsidRDefault="003A7B09" w:rsidP="00F02297">
      <w:pPr>
        <w:pStyle w:val="H2"/>
      </w:pPr>
      <w:bookmarkStart w:id="15" w:name="_Toc470697750"/>
      <w:r>
        <w:t xml:space="preserve">PFS </w:t>
      </w:r>
      <w:r w:rsidR="00D8753B">
        <w:t>o</w:t>
      </w:r>
      <w:r w:rsidR="00863C01" w:rsidRPr="00A40E95">
        <w:t>utcomes</w:t>
      </w:r>
      <w:bookmarkEnd w:id="15"/>
    </w:p>
    <w:p w14:paraId="3D74443F" w14:textId="77777777" w:rsidR="00863C01" w:rsidRPr="00863C01" w:rsidRDefault="00863C01" w:rsidP="00863C01">
      <w:pPr>
        <w:rPr>
          <w:rFonts w:ascii="Arial" w:hAnsi="Arial" w:cs="Arial"/>
          <w:color w:val="000000"/>
        </w:rPr>
      </w:pPr>
      <w:r w:rsidRPr="00863C01">
        <w:rPr>
          <w:rFonts w:ascii="Arial" w:hAnsi="Arial" w:cs="Arial"/>
          <w:color w:val="000000"/>
        </w:rPr>
        <w:t> </w:t>
      </w:r>
    </w:p>
    <w:p w14:paraId="306B0ADE" w14:textId="6C635DD4" w:rsidR="000521BD" w:rsidRDefault="00863C01" w:rsidP="00863C01">
      <w:pPr>
        <w:rPr>
          <w:rFonts w:ascii="Arial" w:hAnsi="Arial" w:cs="Arial"/>
          <w:color w:val="000000"/>
        </w:rPr>
      </w:pPr>
      <w:r w:rsidRPr="00863C01">
        <w:rPr>
          <w:rFonts w:ascii="Arial" w:hAnsi="Arial" w:cs="Arial"/>
          <w:color w:val="000000"/>
        </w:rPr>
        <w:t xml:space="preserve">When interpreting the findings from the outcome evaluation, it is important to keep in mind that that Vermont’s PFS II was not conducted as an experiment designed to prove that the </w:t>
      </w:r>
      <w:r w:rsidR="00CB1103">
        <w:rPr>
          <w:rFonts w:ascii="Arial" w:hAnsi="Arial" w:cs="Arial"/>
          <w:color w:val="000000"/>
        </w:rPr>
        <w:t xml:space="preserve">PFS funding results </w:t>
      </w:r>
      <w:r w:rsidRPr="00863C01">
        <w:rPr>
          <w:rFonts w:ascii="Arial" w:hAnsi="Arial" w:cs="Arial"/>
          <w:color w:val="000000"/>
        </w:rPr>
        <w:t>in better outcom</w:t>
      </w:r>
      <w:r w:rsidR="00CB1103">
        <w:rPr>
          <w:rFonts w:ascii="Arial" w:hAnsi="Arial" w:cs="Arial"/>
          <w:color w:val="000000"/>
        </w:rPr>
        <w:t>es for those areas that receive</w:t>
      </w:r>
      <w:r w:rsidRPr="00863C01">
        <w:rPr>
          <w:rFonts w:ascii="Arial" w:hAnsi="Arial" w:cs="Arial"/>
          <w:color w:val="000000"/>
        </w:rPr>
        <w:t xml:space="preserve"> it.  </w:t>
      </w:r>
      <w:r w:rsidR="00EC08AD">
        <w:rPr>
          <w:rFonts w:ascii="Arial" w:hAnsi="Arial" w:cs="Arial"/>
          <w:color w:val="000000"/>
        </w:rPr>
        <w:t xml:space="preserve">More specifically, </w:t>
      </w:r>
      <w:r w:rsidRPr="00863C01">
        <w:rPr>
          <w:rFonts w:ascii="Arial" w:hAnsi="Arial" w:cs="Arial"/>
          <w:color w:val="000000"/>
        </w:rPr>
        <w:t>the funded and non-funded areas may have d</w:t>
      </w:r>
      <w:r w:rsidR="005405BF">
        <w:rPr>
          <w:rFonts w:ascii="Arial" w:hAnsi="Arial" w:cs="Arial"/>
          <w:color w:val="000000"/>
        </w:rPr>
        <w:t xml:space="preserve">iffered in various ways </w:t>
      </w:r>
      <w:r w:rsidR="000521BD">
        <w:rPr>
          <w:rFonts w:ascii="Arial" w:hAnsi="Arial" w:cs="Arial"/>
          <w:color w:val="000000"/>
        </w:rPr>
        <w:t>other than simply whe</w:t>
      </w:r>
      <w:r w:rsidR="005405BF">
        <w:rPr>
          <w:rFonts w:ascii="Arial" w:hAnsi="Arial" w:cs="Arial"/>
          <w:color w:val="000000"/>
        </w:rPr>
        <w:t xml:space="preserve">ther they received PFS funding </w:t>
      </w:r>
      <w:r w:rsidR="000521BD">
        <w:rPr>
          <w:rFonts w:ascii="Arial" w:hAnsi="Arial" w:cs="Arial"/>
          <w:color w:val="000000"/>
        </w:rPr>
        <w:t>that could</w:t>
      </w:r>
      <w:r w:rsidRPr="00863C01">
        <w:rPr>
          <w:rFonts w:ascii="Arial" w:hAnsi="Arial" w:cs="Arial"/>
          <w:color w:val="000000"/>
        </w:rPr>
        <w:t xml:space="preserve"> have affected the outcome measures examined. </w:t>
      </w:r>
      <w:r w:rsidR="00357681">
        <w:rPr>
          <w:rFonts w:ascii="Arial" w:hAnsi="Arial" w:cs="Arial"/>
          <w:color w:val="000000"/>
        </w:rPr>
        <w:t xml:space="preserve"> </w:t>
      </w:r>
      <w:r w:rsidR="00EC08AD">
        <w:rPr>
          <w:rFonts w:ascii="Arial" w:hAnsi="Arial" w:cs="Arial"/>
          <w:color w:val="000000"/>
        </w:rPr>
        <w:t xml:space="preserve">Although the influence of differences in basic demographic characteristics was controlled, many </w:t>
      </w:r>
      <w:r w:rsidR="00357681">
        <w:rPr>
          <w:rFonts w:ascii="Arial" w:hAnsi="Arial" w:cs="Arial"/>
          <w:color w:val="000000"/>
        </w:rPr>
        <w:t xml:space="preserve">other </w:t>
      </w:r>
      <w:r w:rsidR="00357681">
        <w:rPr>
          <w:rFonts w:ascii="Arial" w:hAnsi="Arial" w:cs="Arial"/>
          <w:color w:val="000000"/>
        </w:rPr>
        <w:lastRenderedPageBreak/>
        <w:t xml:space="preserve">attributes of the regions being compared may have affected the outcome measures. </w:t>
      </w:r>
      <w:r w:rsidR="00EC08AD">
        <w:rPr>
          <w:rFonts w:ascii="Arial" w:hAnsi="Arial" w:cs="Arial"/>
          <w:color w:val="000000"/>
        </w:rPr>
        <w:t xml:space="preserve"> </w:t>
      </w:r>
      <w:r w:rsidR="000521BD">
        <w:rPr>
          <w:rFonts w:ascii="Arial" w:hAnsi="Arial" w:cs="Arial"/>
          <w:color w:val="000000"/>
        </w:rPr>
        <w:t xml:space="preserve">These differences could work to either exaggerate or suppress differences </w:t>
      </w:r>
      <w:r w:rsidR="00CB1103">
        <w:rPr>
          <w:rFonts w:ascii="Arial" w:hAnsi="Arial" w:cs="Arial"/>
          <w:color w:val="000000"/>
        </w:rPr>
        <w:t xml:space="preserve">between PFS and non-PFS areas in the outcomes assessed.  </w:t>
      </w:r>
      <w:r w:rsidR="00464CFA">
        <w:rPr>
          <w:rFonts w:ascii="Arial" w:hAnsi="Arial" w:cs="Arial"/>
          <w:color w:val="000000"/>
        </w:rPr>
        <w:t xml:space="preserve">The evaluation was also not designed to separate out the contributions of individual interventions to any outcomes observed.  Rather, they were assessed as a single package consisting of multiple components.  </w:t>
      </w:r>
    </w:p>
    <w:p w14:paraId="158CA24B" w14:textId="77777777" w:rsidR="000521BD" w:rsidRDefault="000521BD" w:rsidP="00863C01">
      <w:pPr>
        <w:rPr>
          <w:rFonts w:ascii="Arial" w:hAnsi="Arial" w:cs="Arial"/>
          <w:color w:val="000000"/>
        </w:rPr>
      </w:pPr>
    </w:p>
    <w:p w14:paraId="588C5985" w14:textId="6BC48EA3" w:rsidR="00A67D96" w:rsidRDefault="00464CFA" w:rsidP="00A67D96">
      <w:pPr>
        <w:rPr>
          <w:rFonts w:ascii="Arial" w:hAnsi="Arial" w:cs="Arial"/>
          <w:bCs/>
        </w:rPr>
      </w:pPr>
      <w:r>
        <w:rPr>
          <w:rFonts w:ascii="Arial" w:hAnsi="Arial" w:cs="Arial"/>
          <w:color w:val="000000"/>
        </w:rPr>
        <w:t>With these</w:t>
      </w:r>
      <w:r w:rsidR="00863C01" w:rsidRPr="00863C01">
        <w:rPr>
          <w:rFonts w:ascii="Arial" w:hAnsi="Arial" w:cs="Arial"/>
          <w:color w:val="000000"/>
        </w:rPr>
        <w:t xml:space="preserve"> important caveat</w:t>
      </w:r>
      <w:r>
        <w:rPr>
          <w:rFonts w:ascii="Arial" w:hAnsi="Arial" w:cs="Arial"/>
          <w:color w:val="000000"/>
        </w:rPr>
        <w:t>s</w:t>
      </w:r>
      <w:r w:rsidR="00863C01" w:rsidRPr="00863C01">
        <w:rPr>
          <w:rFonts w:ascii="Arial" w:hAnsi="Arial" w:cs="Arial"/>
          <w:color w:val="000000"/>
        </w:rPr>
        <w:t xml:space="preserve"> in mind, the </w:t>
      </w:r>
      <w:r w:rsidR="00CB1103">
        <w:rPr>
          <w:rFonts w:ascii="Arial" w:hAnsi="Arial" w:cs="Arial"/>
          <w:color w:val="000000"/>
        </w:rPr>
        <w:t>overall pattern</w:t>
      </w:r>
      <w:r w:rsidR="00A67D96">
        <w:rPr>
          <w:rFonts w:ascii="Arial" w:hAnsi="Arial" w:cs="Arial"/>
          <w:color w:val="000000"/>
        </w:rPr>
        <w:t>s</w:t>
      </w:r>
      <w:r w:rsidR="004D2A14">
        <w:rPr>
          <w:rFonts w:ascii="Arial" w:hAnsi="Arial" w:cs="Arial"/>
          <w:color w:val="000000"/>
        </w:rPr>
        <w:t xml:space="preserve"> in the</w:t>
      </w:r>
      <w:r w:rsidR="00CB1103">
        <w:rPr>
          <w:rFonts w:ascii="Arial" w:hAnsi="Arial" w:cs="Arial"/>
          <w:color w:val="000000"/>
        </w:rPr>
        <w:t xml:space="preserve"> </w:t>
      </w:r>
      <w:r w:rsidR="004D2A14">
        <w:rPr>
          <w:rFonts w:ascii="Arial" w:hAnsi="Arial" w:cs="Arial"/>
          <w:color w:val="000000"/>
        </w:rPr>
        <w:t>finding</w:t>
      </w:r>
      <w:r w:rsidR="00863C01" w:rsidRPr="00863C01">
        <w:rPr>
          <w:rFonts w:ascii="Arial" w:hAnsi="Arial" w:cs="Arial"/>
          <w:color w:val="000000"/>
        </w:rPr>
        <w:t xml:space="preserve"> </w:t>
      </w:r>
      <w:r w:rsidR="004D2A14">
        <w:rPr>
          <w:rFonts w:ascii="Arial" w:hAnsi="Arial" w:cs="Arial"/>
          <w:color w:val="000000"/>
        </w:rPr>
        <w:t xml:space="preserve">are consistent with each other and with </w:t>
      </w:r>
      <w:r w:rsidR="00357681">
        <w:rPr>
          <w:rFonts w:ascii="Arial" w:hAnsi="Arial" w:cs="Arial"/>
          <w:color w:val="000000"/>
        </w:rPr>
        <w:t>the conjecture</w:t>
      </w:r>
      <w:r w:rsidR="00CB1103">
        <w:rPr>
          <w:rFonts w:ascii="Arial" w:hAnsi="Arial" w:cs="Arial"/>
          <w:color w:val="000000"/>
        </w:rPr>
        <w:t xml:space="preserve"> that activities sponsored by PFS funding contributed to positive changes </w:t>
      </w:r>
      <w:r w:rsidR="00EC08AD">
        <w:rPr>
          <w:rFonts w:ascii="Arial" w:hAnsi="Arial" w:cs="Arial"/>
          <w:color w:val="000000"/>
        </w:rPr>
        <w:t>in the PFS-funded regions of the state.  Not only were changes during the PFS implementation in the desired direction for almost</w:t>
      </w:r>
      <w:r w:rsidR="00A67D96">
        <w:rPr>
          <w:rFonts w:ascii="Arial" w:hAnsi="Arial" w:cs="Arial"/>
          <w:color w:val="000000"/>
        </w:rPr>
        <w:t xml:space="preserve"> all outcome measures examined (</w:t>
      </w:r>
      <w:r w:rsidR="004720AF">
        <w:rPr>
          <w:rFonts w:ascii="Arial" w:hAnsi="Arial" w:cs="Arial"/>
          <w:color w:val="000000"/>
        </w:rPr>
        <w:t>both substance use behaviors and associated risk factors</w:t>
      </w:r>
      <w:r w:rsidR="00A67D96">
        <w:rPr>
          <w:rFonts w:ascii="Arial" w:hAnsi="Arial" w:cs="Arial"/>
          <w:color w:val="000000"/>
        </w:rPr>
        <w:t>)</w:t>
      </w:r>
      <w:r w:rsidR="004720AF">
        <w:rPr>
          <w:rFonts w:ascii="Arial" w:hAnsi="Arial" w:cs="Arial"/>
          <w:color w:val="000000"/>
        </w:rPr>
        <w:t xml:space="preserve">, </w:t>
      </w:r>
      <w:r w:rsidR="00EC08AD">
        <w:rPr>
          <w:rFonts w:ascii="Arial" w:hAnsi="Arial" w:cs="Arial"/>
          <w:color w:val="000000"/>
        </w:rPr>
        <w:t xml:space="preserve">but these desirable changes were generally more pronounced in the PFS funded areas relative to the remainder of the state.  </w:t>
      </w:r>
      <w:r w:rsidR="004D2A14">
        <w:rPr>
          <w:rFonts w:ascii="Arial" w:hAnsi="Arial" w:cs="Arial"/>
          <w:color w:val="000000"/>
        </w:rPr>
        <w:t>Furthermore, f</w:t>
      </w:r>
      <w:r w:rsidR="00A67D96">
        <w:rPr>
          <w:rFonts w:ascii="Arial" w:hAnsi="Arial" w:cs="Arial"/>
          <w:color w:val="000000"/>
        </w:rPr>
        <w:t xml:space="preserve">or each outcome measure examined, the favorable pattern observed for the PFS regions collectively was also found to apply </w:t>
      </w:r>
      <w:r w:rsidR="00A67D96">
        <w:rPr>
          <w:rFonts w:ascii="Arial" w:hAnsi="Arial" w:cs="Arial"/>
          <w:bCs/>
        </w:rPr>
        <w:t xml:space="preserve">to most of the six individual grantee areas as well, rather than being concentrated in only one or two grantees.  Taken together, </w:t>
      </w:r>
      <w:r w:rsidR="004D2A14">
        <w:rPr>
          <w:rFonts w:ascii="Arial" w:hAnsi="Arial" w:cs="Arial"/>
          <w:bCs/>
        </w:rPr>
        <w:t>the consistency with which these various approaches to summarizing the data point in the same direction is remarkable.</w:t>
      </w:r>
    </w:p>
    <w:p w14:paraId="39CAECC5" w14:textId="3DFEE05B" w:rsidR="00A67D96" w:rsidRDefault="00A67D96" w:rsidP="00A67D96">
      <w:pPr>
        <w:rPr>
          <w:rFonts w:ascii="Arial" w:hAnsi="Arial" w:cs="Arial"/>
          <w:color w:val="000000"/>
        </w:rPr>
      </w:pPr>
    </w:p>
    <w:p w14:paraId="4F3AE133" w14:textId="28E15595" w:rsidR="001C581B" w:rsidRDefault="004D2A14" w:rsidP="00C6274A">
      <w:pPr>
        <w:rPr>
          <w:rFonts w:ascii="Arial" w:hAnsi="Arial" w:cs="Arial"/>
          <w:color w:val="000000"/>
        </w:rPr>
      </w:pPr>
      <w:r>
        <w:rPr>
          <w:rFonts w:ascii="Arial" w:hAnsi="Arial" w:cs="Arial"/>
          <w:color w:val="000000"/>
        </w:rPr>
        <w:t xml:space="preserve">Even though only a few of </w:t>
      </w:r>
      <w:r w:rsidR="00357681">
        <w:rPr>
          <w:rFonts w:ascii="Arial" w:hAnsi="Arial" w:cs="Arial"/>
          <w:color w:val="000000"/>
        </w:rPr>
        <w:t xml:space="preserve">the differences </w:t>
      </w:r>
      <w:r w:rsidR="00C5526B">
        <w:rPr>
          <w:rFonts w:ascii="Arial" w:hAnsi="Arial" w:cs="Arial"/>
          <w:color w:val="000000"/>
        </w:rPr>
        <w:t xml:space="preserve">between PFS and non-funded areas were statistically significant, those that were </w:t>
      </w:r>
      <w:r w:rsidR="003A7B09">
        <w:rPr>
          <w:rFonts w:ascii="Arial" w:hAnsi="Arial" w:cs="Arial"/>
          <w:color w:val="000000"/>
        </w:rPr>
        <w:t xml:space="preserve">significant (or </w:t>
      </w:r>
      <w:r w:rsidR="00C5526B">
        <w:rPr>
          <w:rFonts w:ascii="Arial" w:hAnsi="Arial" w:cs="Arial"/>
          <w:color w:val="000000"/>
        </w:rPr>
        <w:t xml:space="preserve">approached statistical significance) are particularly noteworthy.  For example, </w:t>
      </w:r>
      <w:r w:rsidR="00357681">
        <w:rPr>
          <w:rFonts w:ascii="Arial" w:hAnsi="Arial" w:cs="Arial"/>
          <w:color w:val="000000"/>
        </w:rPr>
        <w:t xml:space="preserve">the measure that best reflects what is probably the </w:t>
      </w:r>
      <w:r w:rsidR="00C6274A">
        <w:rPr>
          <w:rFonts w:ascii="Arial" w:hAnsi="Arial" w:cs="Arial"/>
          <w:color w:val="000000"/>
        </w:rPr>
        <w:t xml:space="preserve">most important and heavily targeted goal of the PFS, underage drinking, is current alcohol use among high school students.  For this measure, </w:t>
      </w:r>
      <w:r w:rsidR="001C581B">
        <w:rPr>
          <w:rFonts w:ascii="Arial" w:hAnsi="Arial" w:cs="Arial"/>
          <w:color w:val="000000"/>
        </w:rPr>
        <w:t>the greater reduction</w:t>
      </w:r>
      <w:r w:rsidR="00C6274A">
        <w:rPr>
          <w:rFonts w:ascii="Arial" w:hAnsi="Arial" w:cs="Arial"/>
          <w:color w:val="000000"/>
        </w:rPr>
        <w:t xml:space="preserve"> observed for PFS regions compared to non-funded areas of the state was statistically significant at the p&lt;.05 level.  In addition, differences in other outcome measures of particular importance, such as current alcohol use among middle school students and current pain reliever use among high school students, were marginally significant (p&lt;.10).</w:t>
      </w:r>
    </w:p>
    <w:p w14:paraId="20DE4615" w14:textId="77777777" w:rsidR="00DB2B58" w:rsidRDefault="00DB2B58" w:rsidP="00C6274A">
      <w:pPr>
        <w:rPr>
          <w:rFonts w:ascii="Arial" w:hAnsi="Arial" w:cs="Arial"/>
          <w:color w:val="000000"/>
        </w:rPr>
      </w:pPr>
    </w:p>
    <w:p w14:paraId="0A336455" w14:textId="77777777" w:rsidR="004720AF" w:rsidRDefault="00C6274A" w:rsidP="00C6274A">
      <w:pPr>
        <w:rPr>
          <w:rFonts w:ascii="Arial" w:hAnsi="Arial" w:cs="Arial"/>
          <w:color w:val="000000"/>
        </w:rPr>
      </w:pPr>
      <w:r>
        <w:rPr>
          <w:rFonts w:ascii="Arial" w:hAnsi="Arial" w:cs="Arial"/>
          <w:color w:val="000000"/>
        </w:rPr>
        <w:t xml:space="preserve">The ability of the analysis procedures used to detect differences as statistically significant was </w:t>
      </w:r>
      <w:r w:rsidR="001C581B">
        <w:rPr>
          <w:rFonts w:ascii="Arial" w:hAnsi="Arial" w:cs="Arial"/>
          <w:color w:val="000000"/>
        </w:rPr>
        <w:t xml:space="preserve">likely constrained </w:t>
      </w:r>
      <w:r>
        <w:rPr>
          <w:rFonts w:ascii="Arial" w:hAnsi="Arial" w:cs="Arial"/>
          <w:color w:val="000000"/>
        </w:rPr>
        <w:t xml:space="preserve">by </w:t>
      </w:r>
      <w:r w:rsidR="001C581B">
        <w:rPr>
          <w:rFonts w:ascii="Arial" w:hAnsi="Arial" w:cs="Arial"/>
          <w:color w:val="000000"/>
        </w:rPr>
        <w:t xml:space="preserve">the </w:t>
      </w:r>
      <w:r>
        <w:rPr>
          <w:rFonts w:ascii="Arial" w:hAnsi="Arial" w:cs="Arial"/>
          <w:color w:val="000000"/>
        </w:rPr>
        <w:t xml:space="preserve">relatively small number of regions </w:t>
      </w:r>
      <w:r w:rsidR="001C581B">
        <w:rPr>
          <w:rFonts w:ascii="Arial" w:hAnsi="Arial" w:cs="Arial"/>
          <w:color w:val="000000"/>
        </w:rPr>
        <w:t xml:space="preserve">assigned to either PFS or non-PFS status.  </w:t>
      </w:r>
      <w:r w:rsidR="004720AF">
        <w:rPr>
          <w:rFonts w:ascii="Arial" w:hAnsi="Arial" w:cs="Arial"/>
          <w:color w:val="000000"/>
        </w:rPr>
        <w:t>Furthermore, t</w:t>
      </w:r>
      <w:r w:rsidR="001C581B">
        <w:rPr>
          <w:rFonts w:ascii="Arial" w:hAnsi="Arial" w:cs="Arial"/>
          <w:color w:val="000000"/>
        </w:rPr>
        <w:t xml:space="preserve">he smaller </w:t>
      </w:r>
      <w:r w:rsidR="005405BF">
        <w:rPr>
          <w:rFonts w:ascii="Arial" w:hAnsi="Arial" w:cs="Arial"/>
          <w:color w:val="000000"/>
        </w:rPr>
        <w:t xml:space="preserve">respondent </w:t>
      </w:r>
      <w:r w:rsidR="001C581B">
        <w:rPr>
          <w:rFonts w:ascii="Arial" w:hAnsi="Arial" w:cs="Arial"/>
          <w:color w:val="000000"/>
        </w:rPr>
        <w:t>sample sizes provided by the YAS, relative to thos</w:t>
      </w:r>
      <w:r w:rsidR="004720AF">
        <w:rPr>
          <w:rFonts w:ascii="Arial" w:hAnsi="Arial" w:cs="Arial"/>
          <w:color w:val="000000"/>
        </w:rPr>
        <w:t xml:space="preserve">e for the YRBS, was likely </w:t>
      </w:r>
      <w:r w:rsidR="001C581B">
        <w:rPr>
          <w:rFonts w:ascii="Arial" w:hAnsi="Arial" w:cs="Arial"/>
          <w:color w:val="000000"/>
        </w:rPr>
        <w:t xml:space="preserve">a limiting factor for finding significant differences for </w:t>
      </w:r>
      <w:r w:rsidR="005405BF">
        <w:rPr>
          <w:rFonts w:ascii="Arial" w:hAnsi="Arial" w:cs="Arial"/>
          <w:color w:val="000000"/>
        </w:rPr>
        <w:t xml:space="preserve">the </w:t>
      </w:r>
      <w:r w:rsidR="001C581B">
        <w:rPr>
          <w:rFonts w:ascii="Arial" w:hAnsi="Arial" w:cs="Arial"/>
          <w:color w:val="000000"/>
        </w:rPr>
        <w:t>YAS measures</w:t>
      </w:r>
      <w:r w:rsidR="005405BF">
        <w:rPr>
          <w:rFonts w:ascii="Arial" w:hAnsi="Arial" w:cs="Arial"/>
          <w:color w:val="000000"/>
        </w:rPr>
        <w:t xml:space="preserve">.  </w:t>
      </w:r>
      <w:r w:rsidR="004720AF">
        <w:rPr>
          <w:rFonts w:ascii="Arial" w:hAnsi="Arial" w:cs="Arial"/>
          <w:color w:val="000000"/>
        </w:rPr>
        <w:t>The more important comparison to be made between the YRBS and YAS findings is the overall similarity in the patterns observed with respect to changes over time in the outcomes and the more favorable levels of change generally occurring in the PFS-funded regions.</w:t>
      </w:r>
    </w:p>
    <w:p w14:paraId="709CB60A" w14:textId="77777777" w:rsidR="004720AF" w:rsidRDefault="004720AF" w:rsidP="00C6274A">
      <w:pPr>
        <w:rPr>
          <w:rFonts w:ascii="Arial" w:hAnsi="Arial" w:cs="Arial"/>
          <w:color w:val="000000"/>
        </w:rPr>
      </w:pPr>
    </w:p>
    <w:p w14:paraId="4700A16E" w14:textId="77777777" w:rsidR="001E4A1F" w:rsidRDefault="00C1357B" w:rsidP="008626A7">
      <w:pPr>
        <w:rPr>
          <w:rFonts w:ascii="Arial" w:hAnsi="Arial" w:cs="Times New Roman"/>
        </w:rPr>
      </w:pPr>
      <w:r>
        <w:rPr>
          <w:rFonts w:ascii="Arial" w:hAnsi="Arial" w:cs="Arial"/>
        </w:rPr>
        <w:t>Another important feature of the findings reported here is the fact that reductions between baseline and follow-up in substance use behaviors and risk factors were generally experienced in both the PFS areas and the non-funded areas of the state.  The declines in the non-funded areas makes it more difficult for the reductions in the PFS areas to stand out, and therefore more difficult to detect statisticall</w:t>
      </w:r>
      <w:r w:rsidR="008626A7">
        <w:rPr>
          <w:rFonts w:ascii="Arial" w:hAnsi="Arial" w:cs="Arial"/>
        </w:rPr>
        <w:t>y</w:t>
      </w:r>
      <w:r>
        <w:rPr>
          <w:rFonts w:ascii="Arial" w:hAnsi="Arial" w:cs="Arial"/>
        </w:rPr>
        <w:t xml:space="preserve"> significant differences</w:t>
      </w:r>
      <w:r w:rsidR="008626A7">
        <w:rPr>
          <w:rFonts w:ascii="Arial" w:hAnsi="Arial" w:cs="Arial"/>
        </w:rPr>
        <w:t xml:space="preserve"> for PFS versus non-funded areas.  This does not </w:t>
      </w:r>
      <w:r w:rsidR="008626A7" w:rsidRPr="008626A7">
        <w:rPr>
          <w:rFonts w:ascii="Arial" w:hAnsi="Arial" w:cs="Arial"/>
        </w:rPr>
        <w:t>necessarily detract from or refute the contributions of PFS-funded acti</w:t>
      </w:r>
      <w:r w:rsidR="008626A7">
        <w:rPr>
          <w:rFonts w:ascii="Arial" w:hAnsi="Arial" w:cs="Arial"/>
        </w:rPr>
        <w:t>vities to these welcome trends, as many substance use prevention activities were being implemented in non-PFS areas during the same time that PFS was underway.</w:t>
      </w:r>
      <w:r w:rsidR="008626A7" w:rsidRPr="008626A7">
        <w:rPr>
          <w:rFonts w:ascii="Arial" w:hAnsi="Arial" w:cs="Arial"/>
        </w:rPr>
        <w:t xml:space="preserve"> </w:t>
      </w:r>
      <w:r w:rsidR="008626A7">
        <w:rPr>
          <w:rFonts w:ascii="Arial" w:hAnsi="Arial" w:cs="Times New Roman"/>
        </w:rPr>
        <w:t xml:space="preserve">A </w:t>
      </w:r>
      <w:r w:rsidR="008626A7" w:rsidRPr="008626A7">
        <w:rPr>
          <w:rFonts w:ascii="Arial" w:hAnsi="Arial" w:cs="Times New Roman"/>
        </w:rPr>
        <w:t>reasonable interpretation of the data is that the collective impacts of multiple prevention initiatives across the St</w:t>
      </w:r>
      <w:r w:rsidR="008626A7">
        <w:rPr>
          <w:rFonts w:ascii="Arial" w:hAnsi="Arial" w:cs="Times New Roman"/>
        </w:rPr>
        <w:t>ate of Vermont, including PFS</w:t>
      </w:r>
      <w:r w:rsidR="008626A7" w:rsidRPr="008626A7">
        <w:rPr>
          <w:rFonts w:ascii="Arial" w:hAnsi="Arial" w:cs="Times New Roman"/>
        </w:rPr>
        <w:t xml:space="preserve">, are at least partly responsible for the positive </w:t>
      </w:r>
      <w:r w:rsidR="008626A7">
        <w:rPr>
          <w:rFonts w:ascii="Arial" w:hAnsi="Arial" w:cs="Times New Roman"/>
        </w:rPr>
        <w:t xml:space="preserve">statewide </w:t>
      </w:r>
      <w:r w:rsidR="008626A7" w:rsidRPr="008626A7">
        <w:rPr>
          <w:rFonts w:ascii="Arial" w:hAnsi="Arial" w:cs="Times New Roman"/>
        </w:rPr>
        <w:t>trends, but the effects of any one initiativ</w:t>
      </w:r>
      <w:r w:rsidR="008626A7">
        <w:rPr>
          <w:rFonts w:ascii="Arial" w:hAnsi="Arial" w:cs="Times New Roman"/>
        </w:rPr>
        <w:t>e ca</w:t>
      </w:r>
      <w:r w:rsidR="00DE239E">
        <w:rPr>
          <w:rFonts w:ascii="Arial" w:hAnsi="Arial" w:cs="Times New Roman"/>
        </w:rPr>
        <w:t>nnot be easily distinguished</w:t>
      </w:r>
      <w:r w:rsidR="008626A7">
        <w:rPr>
          <w:rFonts w:ascii="Arial" w:hAnsi="Arial" w:cs="Times New Roman"/>
        </w:rPr>
        <w:t>.</w:t>
      </w:r>
    </w:p>
    <w:p w14:paraId="20977159" w14:textId="77777777" w:rsidR="00A04633" w:rsidRDefault="00A04633" w:rsidP="008626A7">
      <w:pPr>
        <w:rPr>
          <w:rFonts w:ascii="Arial" w:hAnsi="Arial" w:cs="Times New Roman"/>
        </w:rPr>
      </w:pPr>
    </w:p>
    <w:p w14:paraId="6CE4391F" w14:textId="77777777" w:rsidR="00A04633" w:rsidRDefault="00A04633" w:rsidP="008626A7">
      <w:pPr>
        <w:rPr>
          <w:rFonts w:ascii="Arial" w:hAnsi="Arial" w:cs="Times New Roman"/>
        </w:rPr>
      </w:pPr>
    </w:p>
    <w:p w14:paraId="5867B193" w14:textId="77777777" w:rsidR="00C5526B" w:rsidRDefault="00C5526B" w:rsidP="00F02297">
      <w:pPr>
        <w:pStyle w:val="H2"/>
      </w:pPr>
      <w:bookmarkStart w:id="16" w:name="_Toc470697751"/>
    </w:p>
    <w:p w14:paraId="1D142B8C" w14:textId="77777777" w:rsidR="00C5526B" w:rsidRDefault="00C5526B" w:rsidP="00F02297">
      <w:pPr>
        <w:pStyle w:val="H2"/>
      </w:pPr>
    </w:p>
    <w:p w14:paraId="27B83286" w14:textId="77777777" w:rsidR="008626A7" w:rsidRPr="00A40E95" w:rsidRDefault="00DE239E" w:rsidP="00F02297">
      <w:pPr>
        <w:pStyle w:val="H2"/>
      </w:pPr>
      <w:r w:rsidRPr="00A40E95">
        <w:lastRenderedPageBreak/>
        <w:t>I</w:t>
      </w:r>
      <w:r w:rsidR="00A40E95" w:rsidRPr="00A40E95">
        <w:t>mplications and next s</w:t>
      </w:r>
      <w:r w:rsidRPr="00A40E95">
        <w:t>teps</w:t>
      </w:r>
      <w:bookmarkEnd w:id="16"/>
    </w:p>
    <w:p w14:paraId="6076F48D" w14:textId="77777777" w:rsidR="00DE239E" w:rsidRDefault="00DE239E" w:rsidP="008626A7">
      <w:pPr>
        <w:rPr>
          <w:rFonts w:ascii="Arial" w:hAnsi="Arial" w:cs="Times New Roman"/>
        </w:rPr>
      </w:pPr>
    </w:p>
    <w:p w14:paraId="4E90B610" w14:textId="64FE0CD5" w:rsidR="008C55E6" w:rsidRDefault="00DE239E" w:rsidP="008626A7">
      <w:pPr>
        <w:rPr>
          <w:rFonts w:ascii="Arial" w:hAnsi="Arial" w:cs="Times New Roman"/>
        </w:rPr>
      </w:pPr>
      <w:r>
        <w:rPr>
          <w:rFonts w:ascii="Arial" w:hAnsi="Arial" w:cs="Times New Roman"/>
        </w:rPr>
        <w:t xml:space="preserve">Based on the findings </w:t>
      </w:r>
      <w:r w:rsidR="00FC6274">
        <w:rPr>
          <w:rFonts w:ascii="Arial" w:hAnsi="Arial" w:cs="Times New Roman"/>
        </w:rPr>
        <w:t xml:space="preserve">reported here </w:t>
      </w:r>
      <w:r>
        <w:rPr>
          <w:rFonts w:ascii="Arial" w:hAnsi="Arial" w:cs="Times New Roman"/>
        </w:rPr>
        <w:t xml:space="preserve">and </w:t>
      </w:r>
      <w:r w:rsidR="00FC6274">
        <w:rPr>
          <w:rFonts w:ascii="Arial" w:hAnsi="Arial" w:cs="Times New Roman"/>
        </w:rPr>
        <w:t>the preceding discussion,</w:t>
      </w:r>
      <w:r>
        <w:rPr>
          <w:rFonts w:ascii="Arial" w:hAnsi="Arial" w:cs="Times New Roman"/>
        </w:rPr>
        <w:t xml:space="preserve"> </w:t>
      </w:r>
      <w:r w:rsidR="001A4309">
        <w:rPr>
          <w:rFonts w:ascii="Arial" w:hAnsi="Arial" w:cs="Times New Roman"/>
        </w:rPr>
        <w:t xml:space="preserve">there is </w:t>
      </w:r>
      <w:r w:rsidR="007336C3">
        <w:rPr>
          <w:rFonts w:ascii="Arial" w:hAnsi="Arial" w:cs="Times New Roman"/>
        </w:rPr>
        <w:t>good</w:t>
      </w:r>
      <w:r w:rsidR="001A4309">
        <w:rPr>
          <w:rFonts w:ascii="Arial" w:hAnsi="Arial" w:cs="Times New Roman"/>
        </w:rPr>
        <w:t xml:space="preserve"> evidence that </w:t>
      </w:r>
      <w:r w:rsidR="00FC6274">
        <w:rPr>
          <w:rFonts w:ascii="Arial" w:hAnsi="Arial" w:cs="Times New Roman"/>
        </w:rPr>
        <w:t>all three goa</w:t>
      </w:r>
      <w:r w:rsidR="00DB2B58">
        <w:rPr>
          <w:rFonts w:ascii="Arial" w:hAnsi="Arial" w:cs="Times New Roman"/>
        </w:rPr>
        <w:t>ls of the PFS as stated on page 1</w:t>
      </w:r>
      <w:r w:rsidR="00464CFA">
        <w:rPr>
          <w:rFonts w:ascii="Arial" w:hAnsi="Arial" w:cs="Times New Roman"/>
        </w:rPr>
        <w:t xml:space="preserve"> have been</w:t>
      </w:r>
      <w:r w:rsidR="00FC6274">
        <w:rPr>
          <w:rFonts w:ascii="Arial" w:hAnsi="Arial" w:cs="Times New Roman"/>
        </w:rPr>
        <w:t xml:space="preserve"> realized.  One notable exception is the goal of reducing prescription drug misuse among young adults, for which reductions were observed for prescription pain relievers but not for sedatives and stimulants.  Given the high level of attention and focus on prevention of opioid misuse, specifically, both in Vermont and across the nation, this is </w:t>
      </w:r>
      <w:r w:rsidR="008C55E6">
        <w:rPr>
          <w:rFonts w:ascii="Arial" w:hAnsi="Arial" w:cs="Times New Roman"/>
        </w:rPr>
        <w:t>not a surprising development.  But it does suggest carefully monitoring of misuse for these other prescription drug classes and their inclusion in prevention messaging and other prevention strategies aimed at reducing prescription drug misuse.</w:t>
      </w:r>
    </w:p>
    <w:p w14:paraId="20A572C9" w14:textId="77777777" w:rsidR="008C55E6" w:rsidRDefault="008C55E6" w:rsidP="008626A7">
      <w:pPr>
        <w:rPr>
          <w:rFonts w:ascii="Arial" w:hAnsi="Arial" w:cs="Times New Roman"/>
        </w:rPr>
      </w:pPr>
    </w:p>
    <w:p w14:paraId="06313CE0" w14:textId="76DA1E16" w:rsidR="007336C3" w:rsidRDefault="008C55E6" w:rsidP="008626A7">
      <w:pPr>
        <w:rPr>
          <w:rFonts w:ascii="Arial" w:hAnsi="Arial" w:cs="Times New Roman"/>
        </w:rPr>
      </w:pPr>
      <w:r>
        <w:rPr>
          <w:rFonts w:ascii="Arial" w:hAnsi="Arial" w:cs="Times New Roman"/>
        </w:rPr>
        <w:t xml:space="preserve">The findings from the qualitative study on the transition to a regional </w:t>
      </w:r>
      <w:r w:rsidR="007336C3">
        <w:rPr>
          <w:rFonts w:ascii="Arial" w:hAnsi="Arial" w:cs="Times New Roman"/>
        </w:rPr>
        <w:t xml:space="preserve">substance abuse </w:t>
      </w:r>
      <w:r>
        <w:rPr>
          <w:rFonts w:ascii="Arial" w:hAnsi="Arial" w:cs="Times New Roman"/>
        </w:rPr>
        <w:t xml:space="preserve">prevention </w:t>
      </w:r>
      <w:r w:rsidR="007336C3">
        <w:rPr>
          <w:rFonts w:ascii="Arial" w:hAnsi="Arial" w:cs="Times New Roman"/>
        </w:rPr>
        <w:t>system</w:t>
      </w:r>
      <w:r w:rsidR="00ED422F">
        <w:rPr>
          <w:rFonts w:ascii="Arial" w:hAnsi="Arial" w:cs="Times New Roman"/>
        </w:rPr>
        <w:t xml:space="preserve"> </w:t>
      </w:r>
      <w:r>
        <w:rPr>
          <w:rFonts w:ascii="Arial" w:hAnsi="Arial" w:cs="Times New Roman"/>
        </w:rPr>
        <w:t xml:space="preserve">were generally positive with respect to the capacity-building goal of the PFS.  </w:t>
      </w:r>
      <w:r w:rsidR="007336C3">
        <w:rPr>
          <w:rFonts w:ascii="Arial" w:hAnsi="Arial" w:cs="Times New Roman"/>
        </w:rPr>
        <w:t>Even s</w:t>
      </w:r>
      <w:r w:rsidR="00BC141E">
        <w:rPr>
          <w:rFonts w:ascii="Arial" w:hAnsi="Arial" w:cs="Times New Roman"/>
        </w:rPr>
        <w:t>o, further development</w:t>
      </w:r>
      <w:r w:rsidR="007336C3">
        <w:rPr>
          <w:rFonts w:ascii="Arial" w:hAnsi="Arial" w:cs="Times New Roman"/>
        </w:rPr>
        <w:t xml:space="preserve"> and maint</w:t>
      </w:r>
      <w:r w:rsidR="00BC141E">
        <w:rPr>
          <w:rFonts w:ascii="Arial" w:hAnsi="Arial" w:cs="Times New Roman"/>
        </w:rPr>
        <w:t xml:space="preserve">enance of </w:t>
      </w:r>
      <w:r w:rsidR="00297617">
        <w:rPr>
          <w:rFonts w:ascii="Arial" w:hAnsi="Arial" w:cs="Times New Roman"/>
        </w:rPr>
        <w:t>a regional system</w:t>
      </w:r>
      <w:r w:rsidR="007336C3">
        <w:rPr>
          <w:rFonts w:ascii="Arial" w:hAnsi="Arial" w:cs="Times New Roman"/>
        </w:rPr>
        <w:t xml:space="preserve"> presents a number of ongoing challenges</w:t>
      </w:r>
      <w:r w:rsidR="00DB2B58">
        <w:rPr>
          <w:rFonts w:ascii="Arial" w:hAnsi="Arial" w:cs="Times New Roman"/>
        </w:rPr>
        <w:t xml:space="preserve"> to ADAP and its grantees</w:t>
      </w:r>
      <w:r w:rsidR="007336C3">
        <w:rPr>
          <w:rFonts w:ascii="Arial" w:hAnsi="Arial" w:cs="Times New Roman"/>
        </w:rPr>
        <w:t>.  Chief among these are:</w:t>
      </w:r>
    </w:p>
    <w:p w14:paraId="29F9052A" w14:textId="77777777" w:rsidR="007336C3" w:rsidRDefault="007336C3" w:rsidP="008626A7">
      <w:pPr>
        <w:rPr>
          <w:rFonts w:ascii="Arial" w:hAnsi="Arial" w:cs="Times New Roman"/>
        </w:rPr>
      </w:pPr>
    </w:p>
    <w:p w14:paraId="5147E10B" w14:textId="77777777" w:rsidR="007336C3" w:rsidRDefault="007336C3" w:rsidP="007336C3">
      <w:pPr>
        <w:pStyle w:val="ListParagraph"/>
        <w:numPr>
          <w:ilvl w:val="0"/>
          <w:numId w:val="6"/>
        </w:numPr>
        <w:rPr>
          <w:rFonts w:ascii="Arial" w:hAnsi="Arial" w:cs="Times New Roman"/>
        </w:rPr>
      </w:pPr>
      <w:r>
        <w:rPr>
          <w:rFonts w:ascii="Arial" w:hAnsi="Arial" w:cs="Times New Roman"/>
        </w:rPr>
        <w:t>Continued clarification of, and adherence to, roles, responsibilities, and decision making authori</w:t>
      </w:r>
      <w:r w:rsidR="005405BF">
        <w:rPr>
          <w:rFonts w:ascii="Arial" w:hAnsi="Arial" w:cs="Times New Roman"/>
        </w:rPr>
        <w:t xml:space="preserve">ty of the various stakeholders </w:t>
      </w:r>
      <w:r>
        <w:rPr>
          <w:rFonts w:ascii="Arial" w:hAnsi="Arial" w:cs="Times New Roman"/>
        </w:rPr>
        <w:t>participating in the regional structures</w:t>
      </w:r>
    </w:p>
    <w:p w14:paraId="4D913318" w14:textId="77777777" w:rsidR="00E16832" w:rsidRDefault="00E16832" w:rsidP="007336C3">
      <w:pPr>
        <w:pStyle w:val="ListParagraph"/>
        <w:numPr>
          <w:ilvl w:val="0"/>
          <w:numId w:val="6"/>
        </w:numPr>
        <w:rPr>
          <w:rFonts w:ascii="Arial" w:hAnsi="Arial" w:cs="Times New Roman"/>
        </w:rPr>
      </w:pPr>
      <w:r>
        <w:rPr>
          <w:rFonts w:ascii="Arial" w:hAnsi="Arial" w:cs="Times New Roman"/>
        </w:rPr>
        <w:t xml:space="preserve">Determining the best and most cost effective levels (state, regional, or community) at which to </w:t>
      </w:r>
      <w:r w:rsidR="00BC141E">
        <w:rPr>
          <w:rFonts w:ascii="Arial" w:hAnsi="Arial" w:cs="Times New Roman"/>
        </w:rPr>
        <w:t xml:space="preserve">coordinate and </w:t>
      </w:r>
      <w:r>
        <w:rPr>
          <w:rFonts w:ascii="Arial" w:hAnsi="Arial" w:cs="Times New Roman"/>
        </w:rPr>
        <w:t xml:space="preserve">implement various prevention strategies </w:t>
      </w:r>
    </w:p>
    <w:p w14:paraId="5662003A" w14:textId="77777777" w:rsidR="007336C3" w:rsidRDefault="00E16832" w:rsidP="007336C3">
      <w:pPr>
        <w:pStyle w:val="ListParagraph"/>
        <w:numPr>
          <w:ilvl w:val="0"/>
          <w:numId w:val="6"/>
        </w:numPr>
        <w:rPr>
          <w:rFonts w:ascii="Arial" w:hAnsi="Arial" w:cs="Times New Roman"/>
        </w:rPr>
      </w:pPr>
      <w:r>
        <w:rPr>
          <w:rFonts w:ascii="Arial" w:hAnsi="Arial" w:cs="Times New Roman"/>
        </w:rPr>
        <w:t>Extending services to more (or all) communities within each region</w:t>
      </w:r>
    </w:p>
    <w:p w14:paraId="08AF891D" w14:textId="77777777" w:rsidR="00E16832" w:rsidRDefault="00E16832" w:rsidP="007336C3">
      <w:pPr>
        <w:pStyle w:val="ListParagraph"/>
        <w:numPr>
          <w:ilvl w:val="0"/>
          <w:numId w:val="6"/>
        </w:numPr>
        <w:rPr>
          <w:rFonts w:ascii="Arial" w:hAnsi="Arial" w:cs="Times New Roman"/>
        </w:rPr>
      </w:pPr>
      <w:r>
        <w:rPr>
          <w:rFonts w:ascii="Arial" w:hAnsi="Arial" w:cs="Times New Roman"/>
        </w:rPr>
        <w:t xml:space="preserve">Supporting the continued involvement and contributions of effective community-based organizations within the region, even as coordination of some activities is shifted to the regional </w:t>
      </w:r>
      <w:r w:rsidR="00BC141E">
        <w:rPr>
          <w:rFonts w:ascii="Arial" w:hAnsi="Arial" w:cs="Times New Roman"/>
        </w:rPr>
        <w:t xml:space="preserve">or statewide </w:t>
      </w:r>
      <w:r>
        <w:rPr>
          <w:rFonts w:ascii="Arial" w:hAnsi="Arial" w:cs="Times New Roman"/>
        </w:rPr>
        <w:t xml:space="preserve">level </w:t>
      </w:r>
    </w:p>
    <w:p w14:paraId="512BE16B" w14:textId="77777777" w:rsidR="00BC141E" w:rsidRDefault="00BC141E" w:rsidP="007336C3">
      <w:pPr>
        <w:pStyle w:val="ListParagraph"/>
        <w:numPr>
          <w:ilvl w:val="0"/>
          <w:numId w:val="6"/>
        </w:numPr>
        <w:rPr>
          <w:rFonts w:ascii="Arial" w:hAnsi="Arial" w:cs="Times New Roman"/>
        </w:rPr>
      </w:pPr>
      <w:r>
        <w:rPr>
          <w:rFonts w:ascii="Arial" w:hAnsi="Arial" w:cs="Times New Roman"/>
        </w:rPr>
        <w:t xml:space="preserve">Provision of needed training and technical assistance to lead agencies and community partners (e.g., </w:t>
      </w:r>
      <w:r w:rsidR="005405BF">
        <w:rPr>
          <w:rFonts w:ascii="Arial" w:hAnsi="Arial" w:cs="Times New Roman"/>
        </w:rPr>
        <w:t xml:space="preserve">on community education for </w:t>
      </w:r>
      <w:r>
        <w:rPr>
          <w:rFonts w:ascii="Arial" w:hAnsi="Arial" w:cs="Times New Roman"/>
        </w:rPr>
        <w:t>policy-based approaches)</w:t>
      </w:r>
    </w:p>
    <w:p w14:paraId="1B73B571" w14:textId="77777777" w:rsidR="00BC141E" w:rsidRDefault="00BC141E" w:rsidP="007336C3">
      <w:pPr>
        <w:pStyle w:val="ListParagraph"/>
        <w:numPr>
          <w:ilvl w:val="0"/>
          <w:numId w:val="6"/>
        </w:numPr>
        <w:rPr>
          <w:rFonts w:ascii="Arial" w:hAnsi="Arial" w:cs="Times New Roman"/>
        </w:rPr>
      </w:pPr>
      <w:r>
        <w:rPr>
          <w:rFonts w:ascii="Arial" w:hAnsi="Arial" w:cs="Times New Roman"/>
        </w:rPr>
        <w:t>Facilitation of ne</w:t>
      </w:r>
      <w:r w:rsidR="00DB2B58">
        <w:rPr>
          <w:rFonts w:ascii="Arial" w:hAnsi="Arial" w:cs="Times New Roman"/>
        </w:rPr>
        <w:t>tworking and peer learning across</w:t>
      </w:r>
      <w:r>
        <w:rPr>
          <w:rFonts w:ascii="Arial" w:hAnsi="Arial" w:cs="Times New Roman"/>
        </w:rPr>
        <w:t xml:space="preserve"> grantees and their community partners</w:t>
      </w:r>
    </w:p>
    <w:p w14:paraId="41047549" w14:textId="77777777" w:rsidR="00ED422F" w:rsidRDefault="00ED422F" w:rsidP="00ED422F">
      <w:pPr>
        <w:rPr>
          <w:rFonts w:ascii="Arial" w:hAnsi="Arial" w:cs="Times New Roman"/>
        </w:rPr>
      </w:pPr>
    </w:p>
    <w:p w14:paraId="63144510" w14:textId="77777777" w:rsidR="0038706D" w:rsidRDefault="0038706D" w:rsidP="0038706D">
      <w:pPr>
        <w:rPr>
          <w:rFonts w:ascii="Arial" w:hAnsi="Arial" w:cs="Times New Roman"/>
        </w:rPr>
      </w:pPr>
      <w:r>
        <w:rPr>
          <w:rFonts w:ascii="Arial" w:hAnsi="Arial" w:cs="Times New Roman"/>
        </w:rPr>
        <w:t xml:space="preserve">Additional recommendations for regional capacity building are provided in the previously identified report from the year 3 qualitative study. </w:t>
      </w:r>
    </w:p>
    <w:p w14:paraId="1BAA64F6" w14:textId="77777777" w:rsidR="0038706D" w:rsidRDefault="0038706D" w:rsidP="00ED422F">
      <w:pPr>
        <w:rPr>
          <w:rFonts w:ascii="Arial" w:hAnsi="Arial" w:cs="Times New Roman"/>
        </w:rPr>
      </w:pPr>
    </w:p>
    <w:p w14:paraId="72EFE54A" w14:textId="77777777" w:rsidR="00ED422F" w:rsidRDefault="0038706D" w:rsidP="00ED422F">
      <w:pPr>
        <w:rPr>
          <w:rFonts w:ascii="Arial" w:hAnsi="Arial" w:cs="Times New Roman"/>
        </w:rPr>
      </w:pPr>
      <w:r>
        <w:rPr>
          <w:rFonts w:ascii="Arial" w:hAnsi="Arial" w:cs="Times New Roman"/>
        </w:rPr>
        <w:t xml:space="preserve">Two </w:t>
      </w:r>
      <w:r w:rsidR="00DB2B58">
        <w:rPr>
          <w:rFonts w:ascii="Arial" w:hAnsi="Arial" w:cs="Times New Roman"/>
        </w:rPr>
        <w:t xml:space="preserve">additional </w:t>
      </w:r>
      <w:r>
        <w:rPr>
          <w:rFonts w:ascii="Arial" w:hAnsi="Arial" w:cs="Times New Roman"/>
        </w:rPr>
        <w:t>challeng</w:t>
      </w:r>
      <w:r w:rsidR="00DB2B58">
        <w:rPr>
          <w:rFonts w:ascii="Arial" w:hAnsi="Arial" w:cs="Times New Roman"/>
        </w:rPr>
        <w:t>es</w:t>
      </w:r>
      <w:r>
        <w:rPr>
          <w:rFonts w:ascii="Arial" w:hAnsi="Arial" w:cs="Times New Roman"/>
        </w:rPr>
        <w:t xml:space="preserve"> of continued importance </w:t>
      </w:r>
      <w:r w:rsidR="00DB2B58">
        <w:rPr>
          <w:rFonts w:ascii="Arial" w:hAnsi="Arial" w:cs="Times New Roman"/>
        </w:rPr>
        <w:t xml:space="preserve">specifically for grantees are also recognized: </w:t>
      </w:r>
    </w:p>
    <w:p w14:paraId="783C435D" w14:textId="77777777" w:rsidR="00ED422F" w:rsidRPr="00ED422F" w:rsidRDefault="00ED422F" w:rsidP="00ED422F">
      <w:pPr>
        <w:rPr>
          <w:rFonts w:ascii="Arial" w:hAnsi="Arial" w:cs="Times New Roman"/>
        </w:rPr>
      </w:pPr>
    </w:p>
    <w:p w14:paraId="3AF12DD0" w14:textId="77777777" w:rsidR="00BC141E" w:rsidRDefault="00DB2B58" w:rsidP="007336C3">
      <w:pPr>
        <w:pStyle w:val="ListParagraph"/>
        <w:numPr>
          <w:ilvl w:val="0"/>
          <w:numId w:val="6"/>
        </w:numPr>
        <w:rPr>
          <w:rFonts w:ascii="Arial" w:hAnsi="Arial" w:cs="Times New Roman"/>
        </w:rPr>
      </w:pPr>
      <w:r>
        <w:rPr>
          <w:rFonts w:ascii="Arial" w:hAnsi="Arial" w:cs="Times New Roman"/>
        </w:rPr>
        <w:t xml:space="preserve">When </w:t>
      </w:r>
      <w:r w:rsidR="00ED422F">
        <w:rPr>
          <w:rFonts w:ascii="Arial" w:hAnsi="Arial" w:cs="Times New Roman"/>
        </w:rPr>
        <w:t xml:space="preserve">educational strategies are selected, </w:t>
      </w:r>
      <w:r>
        <w:rPr>
          <w:rFonts w:ascii="Arial" w:hAnsi="Arial" w:cs="Times New Roman"/>
        </w:rPr>
        <w:t>those s</w:t>
      </w:r>
      <w:r w:rsidR="00ED422F">
        <w:rPr>
          <w:rFonts w:ascii="Arial" w:hAnsi="Arial" w:cs="Times New Roman"/>
        </w:rPr>
        <w:t xml:space="preserve">trategies </w:t>
      </w:r>
      <w:r>
        <w:rPr>
          <w:rFonts w:ascii="Arial" w:hAnsi="Arial" w:cs="Times New Roman"/>
        </w:rPr>
        <w:t>should r</w:t>
      </w:r>
      <w:r w:rsidR="00ED422F">
        <w:rPr>
          <w:rFonts w:ascii="Arial" w:hAnsi="Arial" w:cs="Times New Roman"/>
        </w:rPr>
        <w:t xml:space="preserve">each </w:t>
      </w:r>
      <w:r w:rsidR="0038706D">
        <w:rPr>
          <w:rFonts w:ascii="Arial" w:hAnsi="Arial" w:cs="Times New Roman"/>
        </w:rPr>
        <w:t xml:space="preserve">relatively </w:t>
      </w:r>
      <w:r w:rsidR="00ED422F">
        <w:rPr>
          <w:rFonts w:ascii="Arial" w:hAnsi="Arial" w:cs="Times New Roman"/>
        </w:rPr>
        <w:t>large numbers of eligible residents (including evidence-based curricula</w:t>
      </w:r>
      <w:r w:rsidR="00022F6F">
        <w:rPr>
          <w:rFonts w:ascii="Arial" w:hAnsi="Arial" w:cs="Times New Roman"/>
        </w:rPr>
        <w:t>r programs in schools if not already in place</w:t>
      </w:r>
      <w:r w:rsidR="00ED422F">
        <w:rPr>
          <w:rFonts w:ascii="Arial" w:hAnsi="Arial" w:cs="Times New Roman"/>
        </w:rPr>
        <w:t xml:space="preserve">), and </w:t>
      </w:r>
      <w:r w:rsidR="00022F6F">
        <w:rPr>
          <w:rFonts w:ascii="Arial" w:hAnsi="Arial" w:cs="Times New Roman"/>
        </w:rPr>
        <w:t xml:space="preserve">grantees should </w:t>
      </w:r>
      <w:r w:rsidR="00ED422F">
        <w:rPr>
          <w:rFonts w:ascii="Arial" w:hAnsi="Arial" w:cs="Times New Roman"/>
        </w:rPr>
        <w:t>consider the cost benefit of any such interventions that</w:t>
      </w:r>
      <w:r w:rsidR="00022F6F">
        <w:rPr>
          <w:rFonts w:ascii="Arial" w:hAnsi="Arial" w:cs="Times New Roman"/>
        </w:rPr>
        <w:t xml:space="preserve"> will likely involve only </w:t>
      </w:r>
      <w:r w:rsidR="00ED422F">
        <w:rPr>
          <w:rFonts w:ascii="Arial" w:hAnsi="Arial" w:cs="Times New Roman"/>
        </w:rPr>
        <w:t>small groups of participants</w:t>
      </w:r>
    </w:p>
    <w:p w14:paraId="5177551C" w14:textId="77777777" w:rsidR="00ED422F" w:rsidRDefault="00ED422F" w:rsidP="007336C3">
      <w:pPr>
        <w:pStyle w:val="ListParagraph"/>
        <w:numPr>
          <w:ilvl w:val="0"/>
          <w:numId w:val="6"/>
        </w:numPr>
        <w:rPr>
          <w:rFonts w:ascii="Arial" w:hAnsi="Arial" w:cs="Times New Roman"/>
        </w:rPr>
      </w:pPr>
      <w:r>
        <w:rPr>
          <w:rFonts w:ascii="Arial" w:hAnsi="Arial" w:cs="Times New Roman"/>
        </w:rPr>
        <w:t xml:space="preserve">Continue to develop and </w:t>
      </w:r>
      <w:r w:rsidR="0038706D">
        <w:rPr>
          <w:rFonts w:ascii="Arial" w:hAnsi="Arial" w:cs="Times New Roman"/>
        </w:rPr>
        <w:t xml:space="preserve">pursue </w:t>
      </w:r>
      <w:r w:rsidR="00521A92">
        <w:rPr>
          <w:rFonts w:ascii="Arial" w:hAnsi="Arial" w:cs="Times New Roman"/>
        </w:rPr>
        <w:t xml:space="preserve">strategies to provide </w:t>
      </w:r>
      <w:r w:rsidR="0038706D">
        <w:rPr>
          <w:rFonts w:ascii="Arial" w:hAnsi="Arial" w:cs="Times New Roman"/>
        </w:rPr>
        <w:t>education on a range of local, regional, and state-level policy options for reducing underage drinking and prescription drug misuse</w:t>
      </w:r>
    </w:p>
    <w:p w14:paraId="6A08F720" w14:textId="77777777" w:rsidR="0038706D" w:rsidRDefault="0038706D" w:rsidP="0038706D">
      <w:pPr>
        <w:rPr>
          <w:rFonts w:ascii="Arial" w:hAnsi="Arial" w:cs="Times New Roman"/>
        </w:rPr>
      </w:pPr>
    </w:p>
    <w:p w14:paraId="3930B278" w14:textId="10905206" w:rsidR="005F7CA6" w:rsidRDefault="0038706D" w:rsidP="00BC141E">
      <w:pPr>
        <w:rPr>
          <w:rFonts w:ascii="Arial" w:hAnsi="Arial" w:cs="Times New Roman"/>
        </w:rPr>
      </w:pPr>
      <w:r>
        <w:rPr>
          <w:rFonts w:ascii="Arial" w:hAnsi="Arial" w:cs="Times New Roman"/>
        </w:rPr>
        <w:t>The continued funding of the</w:t>
      </w:r>
      <w:r w:rsidR="004E14E6">
        <w:rPr>
          <w:rFonts w:ascii="Arial" w:hAnsi="Arial" w:cs="Times New Roman"/>
        </w:rPr>
        <w:t xml:space="preserve"> majority of</w:t>
      </w:r>
      <w:r>
        <w:rPr>
          <w:rFonts w:ascii="Arial" w:hAnsi="Arial" w:cs="Times New Roman"/>
        </w:rPr>
        <w:t xml:space="preserve"> PFS II grantees through Vermont’s PFS 2015</w:t>
      </w:r>
      <w:r w:rsidR="000C59EC">
        <w:rPr>
          <w:rFonts w:ascii="Arial" w:hAnsi="Arial" w:cs="Times New Roman"/>
        </w:rPr>
        <w:t xml:space="preserve"> </w:t>
      </w:r>
      <w:r w:rsidR="00EE0E14">
        <w:rPr>
          <w:rFonts w:ascii="Arial" w:hAnsi="Arial" w:cs="Times New Roman"/>
        </w:rPr>
        <w:t xml:space="preserve">grant </w:t>
      </w:r>
      <w:r w:rsidR="000C59EC">
        <w:rPr>
          <w:rFonts w:ascii="Arial" w:hAnsi="Arial" w:cs="Times New Roman"/>
        </w:rPr>
        <w:t>(known in Vermont as Regional Prevention Partnerships, or RPP)</w:t>
      </w:r>
      <w:r w:rsidR="00EE0E14">
        <w:rPr>
          <w:rFonts w:ascii="Arial" w:hAnsi="Arial" w:cs="Times New Roman"/>
        </w:rPr>
        <w:t xml:space="preserve"> </w:t>
      </w:r>
      <w:r>
        <w:rPr>
          <w:rFonts w:ascii="Arial" w:hAnsi="Arial" w:cs="Times New Roman"/>
        </w:rPr>
        <w:t xml:space="preserve">provides these grantees </w:t>
      </w:r>
      <w:r w:rsidR="006878FB">
        <w:rPr>
          <w:rFonts w:ascii="Arial" w:hAnsi="Arial" w:cs="Times New Roman"/>
        </w:rPr>
        <w:t xml:space="preserve">the opportunity to continue </w:t>
      </w:r>
      <w:r>
        <w:rPr>
          <w:rFonts w:ascii="Arial" w:hAnsi="Arial" w:cs="Times New Roman"/>
        </w:rPr>
        <w:t xml:space="preserve">their efforts and </w:t>
      </w:r>
      <w:r w:rsidR="005405BF">
        <w:rPr>
          <w:rFonts w:ascii="Arial" w:hAnsi="Arial" w:cs="Times New Roman"/>
        </w:rPr>
        <w:t xml:space="preserve">further </w:t>
      </w:r>
      <w:r>
        <w:rPr>
          <w:rFonts w:ascii="Arial" w:hAnsi="Arial" w:cs="Times New Roman"/>
        </w:rPr>
        <w:t xml:space="preserve">refine them as needed.  </w:t>
      </w:r>
      <w:r w:rsidR="005405BF">
        <w:rPr>
          <w:rFonts w:ascii="Arial" w:hAnsi="Arial" w:cs="Times New Roman"/>
        </w:rPr>
        <w:t xml:space="preserve">Funding for these grantees is currently planned to extend through June of 2018.  The extension </w:t>
      </w:r>
      <w:r w:rsidR="006878FB">
        <w:rPr>
          <w:rFonts w:ascii="Arial" w:hAnsi="Arial" w:cs="Times New Roman"/>
        </w:rPr>
        <w:t>also adds another substance use prevention goal to their efforts: the reduction of marijuana use by persons aged 12 through 25.  From an evaluation perspective, the extension of the funding provides the opportunity to track regional capacity building and intervention implementation over an additional two years and also examine anoth</w:t>
      </w:r>
      <w:r w:rsidR="00022F6F">
        <w:rPr>
          <w:rFonts w:ascii="Arial" w:hAnsi="Arial" w:cs="Times New Roman"/>
        </w:rPr>
        <w:t xml:space="preserve">er round of outcome data (i.e., </w:t>
      </w:r>
      <w:r w:rsidR="006878FB">
        <w:rPr>
          <w:rFonts w:ascii="Arial" w:hAnsi="Arial" w:cs="Times New Roman"/>
        </w:rPr>
        <w:t xml:space="preserve">2017 YRBS data </w:t>
      </w:r>
      <w:r w:rsidR="006878FB">
        <w:rPr>
          <w:rFonts w:ascii="Arial" w:hAnsi="Arial" w:cs="Times New Roman"/>
        </w:rPr>
        <w:lastRenderedPageBreak/>
        <w:t>and 2018 YAS data).  Although</w:t>
      </w:r>
      <w:r w:rsidR="005405BF">
        <w:rPr>
          <w:rFonts w:ascii="Arial" w:hAnsi="Arial" w:cs="Times New Roman"/>
        </w:rPr>
        <w:t xml:space="preserve"> </w:t>
      </w:r>
      <w:r w:rsidR="000C59EC">
        <w:rPr>
          <w:rFonts w:ascii="Arial" w:hAnsi="Arial" w:cs="Times New Roman"/>
        </w:rPr>
        <w:t>RPP</w:t>
      </w:r>
      <w:r w:rsidR="005405BF">
        <w:rPr>
          <w:rFonts w:ascii="Arial" w:hAnsi="Arial" w:cs="Times New Roman"/>
        </w:rPr>
        <w:t xml:space="preserve"> grant will provide </w:t>
      </w:r>
      <w:r w:rsidR="006878FB">
        <w:rPr>
          <w:rFonts w:ascii="Arial" w:hAnsi="Arial" w:cs="Times New Roman"/>
        </w:rPr>
        <w:t>funding to additional regions throughout the state, these new grantees will likely not begin implementing interventions until sometime during 2017.  If so, the 2017 YRBS will provide another year of fol</w:t>
      </w:r>
      <w:r w:rsidR="005F7CA6">
        <w:rPr>
          <w:rFonts w:ascii="Arial" w:hAnsi="Arial" w:cs="Times New Roman"/>
        </w:rPr>
        <w:t xml:space="preserve">low-up data </w:t>
      </w:r>
      <w:r w:rsidR="00022F6F">
        <w:rPr>
          <w:rFonts w:ascii="Arial" w:hAnsi="Arial" w:cs="Times New Roman"/>
        </w:rPr>
        <w:t xml:space="preserve">that will </w:t>
      </w:r>
      <w:r w:rsidR="006878FB">
        <w:rPr>
          <w:rFonts w:ascii="Arial" w:hAnsi="Arial" w:cs="Times New Roman"/>
        </w:rPr>
        <w:t xml:space="preserve">allow for </w:t>
      </w:r>
      <w:r w:rsidR="008B202F">
        <w:rPr>
          <w:rFonts w:ascii="Arial" w:hAnsi="Arial" w:cs="Times New Roman"/>
        </w:rPr>
        <w:t xml:space="preserve">a longer term </w:t>
      </w:r>
      <w:r w:rsidR="006878FB">
        <w:rPr>
          <w:rFonts w:ascii="Arial" w:hAnsi="Arial" w:cs="Times New Roman"/>
        </w:rPr>
        <w:t>comparison between PFS-funded and non-funded areas</w:t>
      </w:r>
      <w:r w:rsidR="008B202F">
        <w:rPr>
          <w:rFonts w:ascii="Arial" w:hAnsi="Arial" w:cs="Times New Roman"/>
        </w:rPr>
        <w:t xml:space="preserve">.  </w:t>
      </w:r>
      <w:r w:rsidR="00022F6F">
        <w:rPr>
          <w:rFonts w:ascii="Arial" w:hAnsi="Arial" w:cs="Times New Roman"/>
        </w:rPr>
        <w:t xml:space="preserve">  </w:t>
      </w:r>
    </w:p>
    <w:p w14:paraId="1C3B8009" w14:textId="77777777" w:rsidR="005F7CA6" w:rsidRDefault="005F7CA6" w:rsidP="00BC141E">
      <w:pPr>
        <w:rPr>
          <w:rFonts w:ascii="Arial" w:hAnsi="Arial" w:cs="Times New Roman"/>
        </w:rPr>
      </w:pPr>
    </w:p>
    <w:p w14:paraId="31AB95F6" w14:textId="77777777" w:rsidR="00BC141E" w:rsidRDefault="00BC141E" w:rsidP="00BC141E">
      <w:pPr>
        <w:rPr>
          <w:rFonts w:ascii="Arial" w:hAnsi="Arial" w:cs="Times New Roman"/>
        </w:rPr>
      </w:pPr>
    </w:p>
    <w:p w14:paraId="1EA4DD27" w14:textId="77777777" w:rsidR="00BC141E" w:rsidRPr="00BC141E" w:rsidRDefault="00BC141E" w:rsidP="00BC141E">
      <w:pPr>
        <w:rPr>
          <w:rFonts w:ascii="Arial" w:hAnsi="Arial" w:cs="Times New Roman"/>
        </w:rPr>
      </w:pPr>
    </w:p>
    <w:p w14:paraId="35C4F264" w14:textId="77777777" w:rsidR="007336C3" w:rsidRDefault="007336C3" w:rsidP="007336C3">
      <w:pPr>
        <w:rPr>
          <w:rFonts w:ascii="Arial" w:hAnsi="Arial" w:cs="Times New Roman"/>
        </w:rPr>
      </w:pPr>
    </w:p>
    <w:p w14:paraId="5F93BC45" w14:textId="77777777" w:rsidR="007336C3" w:rsidRPr="007336C3" w:rsidRDefault="007336C3" w:rsidP="007336C3">
      <w:pPr>
        <w:rPr>
          <w:rFonts w:ascii="Arial" w:hAnsi="Arial" w:cs="Times New Roman"/>
        </w:rPr>
        <w:sectPr w:rsidR="007336C3" w:rsidRPr="007336C3" w:rsidSect="00D27497">
          <w:headerReference w:type="default" r:id="rId13"/>
          <w:footerReference w:type="default" r:id="rId14"/>
          <w:type w:val="continuous"/>
          <w:pgSz w:w="12240" w:h="15840"/>
          <w:pgMar w:top="1440" w:right="1440" w:bottom="1440" w:left="1440" w:header="720" w:footer="720" w:gutter="0"/>
          <w:pgNumType w:start="1"/>
          <w:cols w:space="720"/>
          <w:docGrid w:linePitch="360"/>
        </w:sectPr>
      </w:pPr>
    </w:p>
    <w:p w14:paraId="41AA8A05" w14:textId="77777777" w:rsidR="001C28C7" w:rsidRDefault="001C28C7" w:rsidP="00F02297">
      <w:pPr>
        <w:pStyle w:val="H1"/>
        <w:numPr>
          <w:ilvl w:val="0"/>
          <w:numId w:val="0"/>
        </w:numPr>
        <w:spacing w:after="280"/>
        <w:jc w:val="center"/>
      </w:pPr>
      <w:bookmarkStart w:id="17" w:name="_Toc470697752"/>
      <w:r>
        <w:lastRenderedPageBreak/>
        <w:t>Appendix</w:t>
      </w:r>
      <w:bookmarkEnd w:id="17"/>
    </w:p>
    <w:p w14:paraId="467DAB52" w14:textId="77777777" w:rsidR="00ED2C1F" w:rsidRPr="00F02297" w:rsidRDefault="001C28C7" w:rsidP="00F02297">
      <w:pPr>
        <w:pStyle w:val="H2"/>
        <w:spacing w:after="280"/>
        <w:rPr>
          <w:b w:val="0"/>
        </w:rPr>
      </w:pPr>
      <w:bookmarkStart w:id="18" w:name="_Toc470697753"/>
      <w:r w:rsidRPr="00F02297">
        <w:rPr>
          <w:b w:val="0"/>
        </w:rPr>
        <w:t>Table A1.  Interventions implemented by each PFS g</w:t>
      </w:r>
      <w:r w:rsidR="00ED2C1F" w:rsidRPr="00F02297">
        <w:rPr>
          <w:b w:val="0"/>
        </w:rPr>
        <w:t>rantee</w:t>
      </w:r>
      <w:bookmarkEnd w:id="18"/>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3162"/>
        <w:gridCol w:w="3198"/>
        <w:gridCol w:w="1340"/>
        <w:gridCol w:w="1340"/>
        <w:gridCol w:w="1340"/>
        <w:gridCol w:w="1340"/>
        <w:gridCol w:w="1340"/>
        <w:gridCol w:w="1340"/>
      </w:tblGrid>
      <w:tr w:rsidR="00ED2C1F" w:rsidRPr="00BA443E" w14:paraId="2DB8D9AE" w14:textId="77777777">
        <w:trPr>
          <w:jc w:val="center"/>
        </w:trPr>
        <w:tc>
          <w:tcPr>
            <w:tcW w:w="6263" w:type="dxa"/>
            <w:gridSpan w:val="2"/>
            <w:vMerge w:val="restart"/>
            <w:vAlign w:val="center"/>
          </w:tcPr>
          <w:p w14:paraId="5E2249E5" w14:textId="77777777" w:rsidR="00ED2C1F" w:rsidRPr="00D82997" w:rsidRDefault="00ED2C1F" w:rsidP="00D82997">
            <w:pPr>
              <w:jc w:val="center"/>
              <w:rPr>
                <w:sz w:val="24"/>
                <w:szCs w:val="24"/>
              </w:rPr>
            </w:pPr>
            <w:r w:rsidRPr="00D82997">
              <w:rPr>
                <w:sz w:val="24"/>
                <w:szCs w:val="24"/>
              </w:rPr>
              <w:t>Intervention/Activity</w:t>
            </w:r>
          </w:p>
        </w:tc>
        <w:tc>
          <w:tcPr>
            <w:tcW w:w="7920" w:type="dxa"/>
            <w:gridSpan w:val="6"/>
            <w:vAlign w:val="center"/>
          </w:tcPr>
          <w:p w14:paraId="6479BF9D" w14:textId="77777777" w:rsidR="00ED2C1F" w:rsidRPr="00D82997" w:rsidRDefault="00ED2C1F" w:rsidP="00D82997">
            <w:pPr>
              <w:jc w:val="center"/>
              <w:rPr>
                <w:sz w:val="24"/>
                <w:szCs w:val="24"/>
              </w:rPr>
            </w:pPr>
            <w:r w:rsidRPr="00D82997">
              <w:rPr>
                <w:sz w:val="24"/>
                <w:szCs w:val="24"/>
              </w:rPr>
              <w:t>Grantee</w:t>
            </w:r>
          </w:p>
        </w:tc>
      </w:tr>
      <w:tr w:rsidR="00ED2C1F" w:rsidRPr="00BA443E" w14:paraId="0EEC9A96" w14:textId="77777777">
        <w:trPr>
          <w:jc w:val="center"/>
        </w:trPr>
        <w:tc>
          <w:tcPr>
            <w:tcW w:w="6263" w:type="dxa"/>
            <w:gridSpan w:val="2"/>
            <w:vMerge/>
            <w:vAlign w:val="bottom"/>
          </w:tcPr>
          <w:p w14:paraId="2783B46A" w14:textId="77777777" w:rsidR="00ED2C1F" w:rsidRPr="00D82997" w:rsidRDefault="00ED2C1F" w:rsidP="00D82997">
            <w:pPr>
              <w:jc w:val="center"/>
              <w:rPr>
                <w:sz w:val="20"/>
                <w:szCs w:val="20"/>
              </w:rPr>
            </w:pPr>
          </w:p>
        </w:tc>
        <w:tc>
          <w:tcPr>
            <w:tcW w:w="1320" w:type="dxa"/>
            <w:vAlign w:val="center"/>
          </w:tcPr>
          <w:p w14:paraId="02AD15F0" w14:textId="77777777" w:rsidR="00ED2C1F" w:rsidRPr="00D82997" w:rsidRDefault="00ED2C1F" w:rsidP="00D82997">
            <w:pPr>
              <w:jc w:val="center"/>
              <w:rPr>
                <w:sz w:val="20"/>
                <w:szCs w:val="20"/>
              </w:rPr>
            </w:pPr>
            <w:r w:rsidRPr="00D82997">
              <w:rPr>
                <w:sz w:val="20"/>
                <w:szCs w:val="20"/>
              </w:rPr>
              <w:t>1</w:t>
            </w:r>
          </w:p>
          <w:p w14:paraId="452F39FB" w14:textId="77777777" w:rsidR="00ED2C1F" w:rsidRPr="00D82997" w:rsidRDefault="00ED2C1F" w:rsidP="00D82997">
            <w:pPr>
              <w:jc w:val="center"/>
              <w:rPr>
                <w:sz w:val="20"/>
                <w:szCs w:val="20"/>
              </w:rPr>
            </w:pPr>
            <w:r w:rsidRPr="00D82997">
              <w:rPr>
                <w:sz w:val="20"/>
                <w:szCs w:val="20"/>
              </w:rPr>
              <w:t>(Chittenden)</w:t>
            </w:r>
          </w:p>
        </w:tc>
        <w:tc>
          <w:tcPr>
            <w:tcW w:w="1320" w:type="dxa"/>
            <w:vAlign w:val="center"/>
          </w:tcPr>
          <w:p w14:paraId="3FD028F4" w14:textId="77777777" w:rsidR="00ED2C1F" w:rsidRPr="00D82997" w:rsidRDefault="00ED2C1F" w:rsidP="00D82997">
            <w:pPr>
              <w:jc w:val="center"/>
              <w:rPr>
                <w:sz w:val="20"/>
                <w:szCs w:val="20"/>
              </w:rPr>
            </w:pPr>
            <w:r w:rsidRPr="00D82997">
              <w:rPr>
                <w:sz w:val="20"/>
                <w:szCs w:val="20"/>
              </w:rPr>
              <w:t>2</w:t>
            </w:r>
          </w:p>
          <w:p w14:paraId="2FBFF028" w14:textId="77777777" w:rsidR="00ED2C1F" w:rsidRPr="00D82997" w:rsidRDefault="00ED2C1F" w:rsidP="00D82997">
            <w:pPr>
              <w:jc w:val="center"/>
              <w:rPr>
                <w:sz w:val="20"/>
                <w:szCs w:val="20"/>
              </w:rPr>
            </w:pPr>
            <w:r w:rsidRPr="00D82997">
              <w:rPr>
                <w:sz w:val="20"/>
                <w:szCs w:val="20"/>
              </w:rPr>
              <w:t>(Lamoille)</w:t>
            </w:r>
          </w:p>
        </w:tc>
        <w:tc>
          <w:tcPr>
            <w:tcW w:w="1320" w:type="dxa"/>
            <w:vAlign w:val="center"/>
          </w:tcPr>
          <w:p w14:paraId="716D0E5D" w14:textId="77777777" w:rsidR="00ED2C1F" w:rsidRPr="00D82997" w:rsidRDefault="00ED2C1F" w:rsidP="00D82997">
            <w:pPr>
              <w:jc w:val="center"/>
              <w:rPr>
                <w:sz w:val="20"/>
                <w:szCs w:val="20"/>
              </w:rPr>
            </w:pPr>
            <w:r w:rsidRPr="00D82997">
              <w:rPr>
                <w:sz w:val="20"/>
                <w:szCs w:val="20"/>
              </w:rPr>
              <w:t>3</w:t>
            </w:r>
          </w:p>
          <w:p w14:paraId="7FCCEBD5" w14:textId="77777777" w:rsidR="00ED2C1F" w:rsidRPr="00D82997" w:rsidRDefault="00ED2C1F" w:rsidP="00D82997">
            <w:pPr>
              <w:jc w:val="center"/>
              <w:rPr>
                <w:sz w:val="20"/>
                <w:szCs w:val="20"/>
              </w:rPr>
            </w:pPr>
            <w:r w:rsidRPr="00D82997">
              <w:rPr>
                <w:sz w:val="20"/>
                <w:szCs w:val="20"/>
              </w:rPr>
              <w:t>(Rutland)</w:t>
            </w:r>
          </w:p>
        </w:tc>
        <w:tc>
          <w:tcPr>
            <w:tcW w:w="1320" w:type="dxa"/>
            <w:vAlign w:val="center"/>
          </w:tcPr>
          <w:p w14:paraId="738059DD" w14:textId="77777777" w:rsidR="00ED2C1F" w:rsidRPr="00D82997" w:rsidRDefault="00ED2C1F" w:rsidP="00D82997">
            <w:pPr>
              <w:jc w:val="center"/>
              <w:rPr>
                <w:sz w:val="20"/>
                <w:szCs w:val="20"/>
              </w:rPr>
            </w:pPr>
            <w:r w:rsidRPr="00D82997">
              <w:rPr>
                <w:sz w:val="20"/>
                <w:szCs w:val="20"/>
              </w:rPr>
              <w:t>4</w:t>
            </w:r>
          </w:p>
          <w:p w14:paraId="1E046D7F" w14:textId="77777777" w:rsidR="00ED2C1F" w:rsidRPr="00D82997" w:rsidRDefault="00ED2C1F" w:rsidP="00D82997">
            <w:pPr>
              <w:jc w:val="center"/>
              <w:rPr>
                <w:sz w:val="20"/>
                <w:szCs w:val="20"/>
              </w:rPr>
            </w:pPr>
            <w:r w:rsidRPr="00D82997">
              <w:rPr>
                <w:sz w:val="20"/>
                <w:szCs w:val="20"/>
              </w:rPr>
              <w:t>(Washington)</w:t>
            </w:r>
          </w:p>
        </w:tc>
        <w:tc>
          <w:tcPr>
            <w:tcW w:w="1320" w:type="dxa"/>
            <w:vAlign w:val="center"/>
          </w:tcPr>
          <w:p w14:paraId="2AE95E81" w14:textId="77777777" w:rsidR="00ED2C1F" w:rsidRPr="00D82997" w:rsidRDefault="00ED2C1F" w:rsidP="00D82997">
            <w:pPr>
              <w:jc w:val="center"/>
              <w:rPr>
                <w:sz w:val="20"/>
                <w:szCs w:val="20"/>
              </w:rPr>
            </w:pPr>
            <w:r w:rsidRPr="00D82997">
              <w:rPr>
                <w:sz w:val="20"/>
                <w:szCs w:val="20"/>
              </w:rPr>
              <w:t>5</w:t>
            </w:r>
          </w:p>
          <w:p w14:paraId="55DB4BA3" w14:textId="77777777" w:rsidR="00ED2C1F" w:rsidRPr="00D82997" w:rsidRDefault="00ED2C1F" w:rsidP="00D82997">
            <w:pPr>
              <w:jc w:val="center"/>
              <w:rPr>
                <w:sz w:val="20"/>
                <w:szCs w:val="20"/>
              </w:rPr>
            </w:pPr>
            <w:r w:rsidRPr="00D82997">
              <w:rPr>
                <w:sz w:val="20"/>
                <w:szCs w:val="20"/>
              </w:rPr>
              <w:t>(Windham)</w:t>
            </w:r>
          </w:p>
        </w:tc>
        <w:tc>
          <w:tcPr>
            <w:tcW w:w="1320" w:type="dxa"/>
            <w:vAlign w:val="center"/>
          </w:tcPr>
          <w:p w14:paraId="58F17EB6" w14:textId="77777777" w:rsidR="00ED2C1F" w:rsidRPr="00D82997" w:rsidRDefault="00ED2C1F" w:rsidP="00D82997">
            <w:pPr>
              <w:jc w:val="center"/>
              <w:rPr>
                <w:sz w:val="20"/>
                <w:szCs w:val="20"/>
              </w:rPr>
            </w:pPr>
            <w:r w:rsidRPr="00D82997">
              <w:rPr>
                <w:sz w:val="20"/>
                <w:szCs w:val="20"/>
              </w:rPr>
              <w:t>6</w:t>
            </w:r>
          </w:p>
          <w:p w14:paraId="4396E56F" w14:textId="77777777" w:rsidR="00ED2C1F" w:rsidRPr="00D82997" w:rsidRDefault="00ED2C1F" w:rsidP="00D82997">
            <w:pPr>
              <w:jc w:val="center"/>
              <w:rPr>
                <w:sz w:val="20"/>
                <w:szCs w:val="20"/>
              </w:rPr>
            </w:pPr>
            <w:r w:rsidRPr="00D82997">
              <w:rPr>
                <w:sz w:val="20"/>
                <w:szCs w:val="20"/>
              </w:rPr>
              <w:t>(Windsor)</w:t>
            </w:r>
          </w:p>
        </w:tc>
      </w:tr>
      <w:tr w:rsidR="00ED2C1F" w:rsidRPr="00BA443E" w14:paraId="6BDFBC48" w14:textId="77777777">
        <w:trPr>
          <w:trHeight w:val="375"/>
          <w:jc w:val="center"/>
        </w:trPr>
        <w:tc>
          <w:tcPr>
            <w:tcW w:w="3113" w:type="dxa"/>
            <w:vMerge w:val="restart"/>
            <w:vAlign w:val="center"/>
          </w:tcPr>
          <w:p w14:paraId="25F31601" w14:textId="1FFF2A8A" w:rsidR="00ED2C1F" w:rsidRPr="003D34D6" w:rsidRDefault="00ED2C1F" w:rsidP="00397FF3">
            <w:pPr>
              <w:rPr>
                <w:color w:val="000000"/>
                <w:sz w:val="20"/>
                <w:szCs w:val="20"/>
                <w:vertAlign w:val="superscript"/>
              </w:rPr>
            </w:pPr>
            <w:r w:rsidRPr="00D82997">
              <w:rPr>
                <w:color w:val="000000"/>
                <w:sz w:val="20"/>
                <w:szCs w:val="20"/>
              </w:rPr>
              <w:t>Education on Policy Approaches to Reduce Underage Drinking (required to work on at least one type of policy)</w:t>
            </w:r>
          </w:p>
        </w:tc>
        <w:tc>
          <w:tcPr>
            <w:tcW w:w="3150" w:type="dxa"/>
            <w:vAlign w:val="center"/>
          </w:tcPr>
          <w:p w14:paraId="799FEFF6" w14:textId="77777777" w:rsidR="00ED2C1F" w:rsidRPr="00D82997" w:rsidRDefault="00ED2C1F" w:rsidP="00397FF3">
            <w:pPr>
              <w:rPr>
                <w:sz w:val="20"/>
                <w:szCs w:val="20"/>
              </w:rPr>
            </w:pPr>
            <w:r w:rsidRPr="00D82997">
              <w:rPr>
                <w:color w:val="000000"/>
                <w:sz w:val="20"/>
                <w:szCs w:val="20"/>
              </w:rPr>
              <w:t>Restricting Alcohol Outlet Density</w:t>
            </w:r>
          </w:p>
        </w:tc>
        <w:tc>
          <w:tcPr>
            <w:tcW w:w="1320" w:type="dxa"/>
            <w:vAlign w:val="center"/>
          </w:tcPr>
          <w:p w14:paraId="07C5BB23" w14:textId="77777777" w:rsidR="00ED2C1F" w:rsidRPr="00BA443E" w:rsidRDefault="00ED2C1F" w:rsidP="00D82997">
            <w:pPr>
              <w:jc w:val="center"/>
            </w:pPr>
            <w:r w:rsidRPr="00D82997">
              <w:sym w:font="Wingdings 2" w:char="F050"/>
            </w:r>
          </w:p>
        </w:tc>
        <w:tc>
          <w:tcPr>
            <w:tcW w:w="1320" w:type="dxa"/>
            <w:vAlign w:val="center"/>
          </w:tcPr>
          <w:p w14:paraId="47A8F07A" w14:textId="77777777" w:rsidR="00ED2C1F" w:rsidRPr="00BA443E" w:rsidRDefault="00ED2C1F" w:rsidP="00D82997">
            <w:pPr>
              <w:jc w:val="center"/>
            </w:pPr>
          </w:p>
        </w:tc>
        <w:tc>
          <w:tcPr>
            <w:tcW w:w="1320" w:type="dxa"/>
            <w:vAlign w:val="center"/>
          </w:tcPr>
          <w:p w14:paraId="371E4C17" w14:textId="77777777" w:rsidR="00ED2C1F" w:rsidRPr="00BA443E" w:rsidRDefault="00ED2C1F" w:rsidP="00D82997">
            <w:pPr>
              <w:jc w:val="center"/>
            </w:pPr>
          </w:p>
        </w:tc>
        <w:tc>
          <w:tcPr>
            <w:tcW w:w="1320" w:type="dxa"/>
            <w:vAlign w:val="center"/>
          </w:tcPr>
          <w:p w14:paraId="2059EB0B" w14:textId="77777777" w:rsidR="00ED2C1F" w:rsidRPr="00BA443E" w:rsidRDefault="00ED2C1F" w:rsidP="00D82997">
            <w:pPr>
              <w:jc w:val="center"/>
            </w:pPr>
          </w:p>
        </w:tc>
        <w:tc>
          <w:tcPr>
            <w:tcW w:w="1320" w:type="dxa"/>
            <w:vAlign w:val="center"/>
          </w:tcPr>
          <w:p w14:paraId="349AD2EC" w14:textId="77777777" w:rsidR="00ED2C1F" w:rsidRPr="00BA443E" w:rsidRDefault="00ED2C1F" w:rsidP="00D82997">
            <w:pPr>
              <w:jc w:val="center"/>
            </w:pPr>
          </w:p>
        </w:tc>
        <w:tc>
          <w:tcPr>
            <w:tcW w:w="1320" w:type="dxa"/>
            <w:vAlign w:val="center"/>
          </w:tcPr>
          <w:p w14:paraId="329A7DFA" w14:textId="77777777" w:rsidR="00ED2C1F" w:rsidRPr="00BA443E" w:rsidRDefault="00ED2C1F" w:rsidP="00D82997">
            <w:pPr>
              <w:jc w:val="center"/>
            </w:pPr>
            <w:r w:rsidRPr="00D82997">
              <w:sym w:font="Wingdings 2" w:char="F050"/>
            </w:r>
            <w:r w:rsidRPr="00BA443E">
              <w:t>+</w:t>
            </w:r>
          </w:p>
        </w:tc>
      </w:tr>
      <w:tr w:rsidR="00ED2C1F" w:rsidRPr="00BA443E" w14:paraId="67AF3BFF" w14:textId="77777777">
        <w:trPr>
          <w:trHeight w:val="375"/>
          <w:jc w:val="center"/>
        </w:trPr>
        <w:tc>
          <w:tcPr>
            <w:tcW w:w="3113" w:type="dxa"/>
            <w:vMerge/>
            <w:vAlign w:val="center"/>
          </w:tcPr>
          <w:p w14:paraId="0146F58B" w14:textId="77777777" w:rsidR="00ED2C1F" w:rsidRPr="00D82997" w:rsidRDefault="00ED2C1F" w:rsidP="00397FF3">
            <w:pPr>
              <w:rPr>
                <w:color w:val="000000"/>
                <w:sz w:val="20"/>
                <w:szCs w:val="20"/>
              </w:rPr>
            </w:pPr>
          </w:p>
        </w:tc>
        <w:tc>
          <w:tcPr>
            <w:tcW w:w="3150" w:type="dxa"/>
            <w:vAlign w:val="center"/>
          </w:tcPr>
          <w:p w14:paraId="1A4691D1" w14:textId="77777777" w:rsidR="00ED2C1F" w:rsidRPr="00D82997" w:rsidRDefault="00ED2C1F" w:rsidP="00397FF3">
            <w:pPr>
              <w:rPr>
                <w:sz w:val="20"/>
                <w:szCs w:val="20"/>
              </w:rPr>
            </w:pPr>
            <w:r w:rsidRPr="00D82997">
              <w:rPr>
                <w:color w:val="000000"/>
                <w:sz w:val="20"/>
                <w:szCs w:val="20"/>
              </w:rPr>
              <w:t>Restrictions on Alcohol in Public Places and/or at Community Events</w:t>
            </w:r>
          </w:p>
        </w:tc>
        <w:tc>
          <w:tcPr>
            <w:tcW w:w="1320" w:type="dxa"/>
            <w:vAlign w:val="center"/>
          </w:tcPr>
          <w:p w14:paraId="2054BADF" w14:textId="77777777" w:rsidR="00ED2C1F" w:rsidRPr="00BA443E" w:rsidRDefault="00ED2C1F" w:rsidP="00D82997">
            <w:pPr>
              <w:jc w:val="center"/>
            </w:pPr>
            <w:r w:rsidRPr="00D82997">
              <w:sym w:font="Wingdings 2" w:char="F050"/>
            </w:r>
          </w:p>
        </w:tc>
        <w:tc>
          <w:tcPr>
            <w:tcW w:w="1320" w:type="dxa"/>
            <w:vAlign w:val="center"/>
          </w:tcPr>
          <w:p w14:paraId="6D91C7FA" w14:textId="77777777" w:rsidR="00ED2C1F" w:rsidRPr="00BA443E" w:rsidRDefault="00ED2C1F" w:rsidP="00D82997">
            <w:pPr>
              <w:jc w:val="center"/>
            </w:pPr>
            <w:r w:rsidRPr="00D82997">
              <w:sym w:font="Wingdings 2" w:char="F050"/>
            </w:r>
            <w:r w:rsidRPr="00BA443E">
              <w:t>+</w:t>
            </w:r>
          </w:p>
        </w:tc>
        <w:tc>
          <w:tcPr>
            <w:tcW w:w="1320" w:type="dxa"/>
            <w:vAlign w:val="center"/>
          </w:tcPr>
          <w:p w14:paraId="0CB1A48B" w14:textId="77777777" w:rsidR="00ED2C1F" w:rsidRPr="00BA443E" w:rsidRDefault="00ED2C1F" w:rsidP="00D82997">
            <w:pPr>
              <w:jc w:val="center"/>
            </w:pPr>
          </w:p>
        </w:tc>
        <w:tc>
          <w:tcPr>
            <w:tcW w:w="1320" w:type="dxa"/>
            <w:vAlign w:val="center"/>
          </w:tcPr>
          <w:p w14:paraId="160214C8" w14:textId="77777777" w:rsidR="00ED2C1F" w:rsidRPr="00BA443E" w:rsidRDefault="00ED2C1F" w:rsidP="00D82997">
            <w:pPr>
              <w:jc w:val="center"/>
            </w:pPr>
            <w:r w:rsidRPr="00D82997">
              <w:sym w:font="Wingdings 2" w:char="F050"/>
            </w:r>
          </w:p>
        </w:tc>
        <w:tc>
          <w:tcPr>
            <w:tcW w:w="1320" w:type="dxa"/>
            <w:vAlign w:val="center"/>
          </w:tcPr>
          <w:p w14:paraId="68E3FD8B" w14:textId="77777777" w:rsidR="00ED2C1F" w:rsidRPr="00BA443E" w:rsidRDefault="00ED2C1F" w:rsidP="00D82997">
            <w:pPr>
              <w:jc w:val="center"/>
            </w:pPr>
            <w:r w:rsidRPr="00D82997">
              <w:sym w:font="Wingdings 2" w:char="F050"/>
            </w:r>
          </w:p>
        </w:tc>
        <w:tc>
          <w:tcPr>
            <w:tcW w:w="1320" w:type="dxa"/>
            <w:vAlign w:val="center"/>
          </w:tcPr>
          <w:p w14:paraId="0D82A2E1" w14:textId="77777777" w:rsidR="00ED2C1F" w:rsidRPr="00BA443E" w:rsidRDefault="00ED2C1F" w:rsidP="00D82997">
            <w:pPr>
              <w:jc w:val="center"/>
            </w:pPr>
            <w:r w:rsidRPr="00D82997">
              <w:sym w:font="Wingdings 2" w:char="F050"/>
            </w:r>
          </w:p>
        </w:tc>
      </w:tr>
      <w:tr w:rsidR="00ED2C1F" w:rsidRPr="00BA443E" w14:paraId="46CD8A0E" w14:textId="77777777">
        <w:trPr>
          <w:trHeight w:val="375"/>
          <w:jc w:val="center"/>
        </w:trPr>
        <w:tc>
          <w:tcPr>
            <w:tcW w:w="3113" w:type="dxa"/>
            <w:vMerge/>
            <w:vAlign w:val="center"/>
          </w:tcPr>
          <w:p w14:paraId="489D908F" w14:textId="77777777" w:rsidR="00ED2C1F" w:rsidRPr="00D82997" w:rsidRDefault="00ED2C1F" w:rsidP="00397FF3">
            <w:pPr>
              <w:rPr>
                <w:color w:val="000000"/>
                <w:sz w:val="20"/>
                <w:szCs w:val="20"/>
              </w:rPr>
            </w:pPr>
          </w:p>
        </w:tc>
        <w:tc>
          <w:tcPr>
            <w:tcW w:w="3150" w:type="dxa"/>
            <w:vAlign w:val="center"/>
          </w:tcPr>
          <w:p w14:paraId="5FBF9F81" w14:textId="77777777" w:rsidR="00ED2C1F" w:rsidRPr="00D82997" w:rsidRDefault="00ED2C1F" w:rsidP="00397FF3">
            <w:pPr>
              <w:rPr>
                <w:sz w:val="20"/>
                <w:szCs w:val="20"/>
              </w:rPr>
            </w:pPr>
            <w:r w:rsidRPr="00D82997">
              <w:rPr>
                <w:color w:val="000000"/>
                <w:sz w:val="20"/>
                <w:szCs w:val="20"/>
              </w:rPr>
              <w:t>Enhancements to Social Host Liability</w:t>
            </w:r>
          </w:p>
        </w:tc>
        <w:tc>
          <w:tcPr>
            <w:tcW w:w="1320" w:type="dxa"/>
            <w:vAlign w:val="center"/>
          </w:tcPr>
          <w:p w14:paraId="555704BC" w14:textId="77777777" w:rsidR="00ED2C1F" w:rsidRPr="00BA443E" w:rsidRDefault="00ED2C1F" w:rsidP="00D82997">
            <w:pPr>
              <w:jc w:val="center"/>
            </w:pPr>
          </w:p>
        </w:tc>
        <w:tc>
          <w:tcPr>
            <w:tcW w:w="1320" w:type="dxa"/>
            <w:vAlign w:val="center"/>
          </w:tcPr>
          <w:p w14:paraId="065D7738" w14:textId="77777777" w:rsidR="00ED2C1F" w:rsidRPr="00BA443E" w:rsidRDefault="00ED2C1F" w:rsidP="00D82997">
            <w:pPr>
              <w:jc w:val="center"/>
            </w:pPr>
          </w:p>
        </w:tc>
        <w:tc>
          <w:tcPr>
            <w:tcW w:w="1320" w:type="dxa"/>
            <w:vAlign w:val="center"/>
          </w:tcPr>
          <w:p w14:paraId="4AB3476E" w14:textId="77777777" w:rsidR="00ED2C1F" w:rsidRPr="00BA443E" w:rsidRDefault="00ED2C1F" w:rsidP="00D82997">
            <w:pPr>
              <w:jc w:val="center"/>
            </w:pPr>
            <w:r w:rsidRPr="00D82997">
              <w:sym w:font="Wingdings 2" w:char="F050"/>
            </w:r>
          </w:p>
        </w:tc>
        <w:tc>
          <w:tcPr>
            <w:tcW w:w="1320" w:type="dxa"/>
            <w:vAlign w:val="center"/>
          </w:tcPr>
          <w:p w14:paraId="5AC8279E" w14:textId="77777777" w:rsidR="00ED2C1F" w:rsidRPr="00BA443E" w:rsidRDefault="00ED2C1F" w:rsidP="00D82997">
            <w:pPr>
              <w:jc w:val="center"/>
            </w:pPr>
          </w:p>
        </w:tc>
        <w:tc>
          <w:tcPr>
            <w:tcW w:w="1320" w:type="dxa"/>
            <w:vAlign w:val="center"/>
          </w:tcPr>
          <w:p w14:paraId="4BA4BE60" w14:textId="77777777" w:rsidR="00ED2C1F" w:rsidRPr="00BA443E" w:rsidRDefault="00ED2C1F" w:rsidP="00D82997">
            <w:pPr>
              <w:jc w:val="center"/>
            </w:pPr>
          </w:p>
        </w:tc>
        <w:tc>
          <w:tcPr>
            <w:tcW w:w="1320" w:type="dxa"/>
            <w:vAlign w:val="center"/>
          </w:tcPr>
          <w:p w14:paraId="0A284AE3" w14:textId="77777777" w:rsidR="00ED2C1F" w:rsidRPr="00BA443E" w:rsidRDefault="00ED2C1F" w:rsidP="00D82997">
            <w:pPr>
              <w:jc w:val="center"/>
            </w:pPr>
          </w:p>
        </w:tc>
      </w:tr>
      <w:tr w:rsidR="00ED2C1F" w:rsidRPr="00BA443E" w14:paraId="6397E2F8" w14:textId="77777777">
        <w:trPr>
          <w:trHeight w:val="375"/>
          <w:jc w:val="center"/>
        </w:trPr>
        <w:tc>
          <w:tcPr>
            <w:tcW w:w="3113" w:type="dxa"/>
            <w:vMerge/>
            <w:vAlign w:val="center"/>
          </w:tcPr>
          <w:p w14:paraId="56361FA4" w14:textId="77777777" w:rsidR="00ED2C1F" w:rsidRPr="00D82997" w:rsidRDefault="00ED2C1F" w:rsidP="00397FF3">
            <w:pPr>
              <w:rPr>
                <w:color w:val="000000"/>
                <w:sz w:val="20"/>
                <w:szCs w:val="20"/>
              </w:rPr>
            </w:pPr>
          </w:p>
        </w:tc>
        <w:tc>
          <w:tcPr>
            <w:tcW w:w="3150" w:type="dxa"/>
            <w:vAlign w:val="center"/>
          </w:tcPr>
          <w:p w14:paraId="7568A746" w14:textId="77777777" w:rsidR="00ED2C1F" w:rsidRPr="00D82997" w:rsidRDefault="00ED2C1F" w:rsidP="00397FF3">
            <w:pPr>
              <w:rPr>
                <w:sz w:val="20"/>
                <w:szCs w:val="20"/>
              </w:rPr>
            </w:pPr>
            <w:r w:rsidRPr="00D82997">
              <w:rPr>
                <w:color w:val="000000"/>
                <w:sz w:val="20"/>
                <w:szCs w:val="20"/>
              </w:rPr>
              <w:t>Enhancements to Open Container Regulations</w:t>
            </w:r>
          </w:p>
        </w:tc>
        <w:tc>
          <w:tcPr>
            <w:tcW w:w="1320" w:type="dxa"/>
            <w:vAlign w:val="center"/>
          </w:tcPr>
          <w:p w14:paraId="4AE61A52" w14:textId="77777777" w:rsidR="00ED2C1F" w:rsidRPr="00BA443E" w:rsidRDefault="00ED2C1F" w:rsidP="00D82997">
            <w:pPr>
              <w:jc w:val="center"/>
            </w:pPr>
          </w:p>
        </w:tc>
        <w:tc>
          <w:tcPr>
            <w:tcW w:w="1320" w:type="dxa"/>
            <w:vAlign w:val="center"/>
          </w:tcPr>
          <w:p w14:paraId="788C9939" w14:textId="77777777" w:rsidR="00ED2C1F" w:rsidRPr="00BA443E" w:rsidRDefault="00ED2C1F" w:rsidP="00D82997">
            <w:pPr>
              <w:jc w:val="center"/>
            </w:pPr>
          </w:p>
        </w:tc>
        <w:tc>
          <w:tcPr>
            <w:tcW w:w="1320" w:type="dxa"/>
            <w:vAlign w:val="center"/>
          </w:tcPr>
          <w:p w14:paraId="44DF0CF4" w14:textId="77777777" w:rsidR="00ED2C1F" w:rsidRPr="00BA443E" w:rsidRDefault="00ED2C1F" w:rsidP="00D82997">
            <w:pPr>
              <w:jc w:val="center"/>
            </w:pPr>
            <w:r w:rsidRPr="00D82997">
              <w:sym w:font="Wingdings 2" w:char="F050"/>
            </w:r>
            <w:r w:rsidRPr="00BA443E">
              <w:t>+</w:t>
            </w:r>
          </w:p>
        </w:tc>
        <w:tc>
          <w:tcPr>
            <w:tcW w:w="1320" w:type="dxa"/>
            <w:vAlign w:val="center"/>
          </w:tcPr>
          <w:p w14:paraId="3C00C030" w14:textId="77777777" w:rsidR="00ED2C1F" w:rsidRPr="00BA443E" w:rsidRDefault="00ED2C1F" w:rsidP="00D82997">
            <w:pPr>
              <w:jc w:val="center"/>
            </w:pPr>
          </w:p>
        </w:tc>
        <w:tc>
          <w:tcPr>
            <w:tcW w:w="1320" w:type="dxa"/>
            <w:vAlign w:val="center"/>
          </w:tcPr>
          <w:p w14:paraId="03D9B939" w14:textId="77777777" w:rsidR="00ED2C1F" w:rsidRPr="00BA443E" w:rsidRDefault="00ED2C1F" w:rsidP="00D82997">
            <w:pPr>
              <w:jc w:val="center"/>
            </w:pPr>
          </w:p>
        </w:tc>
        <w:tc>
          <w:tcPr>
            <w:tcW w:w="1320" w:type="dxa"/>
            <w:vAlign w:val="center"/>
          </w:tcPr>
          <w:p w14:paraId="52A373A2" w14:textId="77777777" w:rsidR="00ED2C1F" w:rsidRPr="00BA443E" w:rsidRDefault="00ED2C1F" w:rsidP="00D82997">
            <w:pPr>
              <w:jc w:val="center"/>
            </w:pPr>
          </w:p>
        </w:tc>
      </w:tr>
      <w:tr w:rsidR="00ED2C1F" w:rsidRPr="00BA443E" w14:paraId="38BD458E" w14:textId="77777777">
        <w:trPr>
          <w:jc w:val="center"/>
        </w:trPr>
        <w:tc>
          <w:tcPr>
            <w:tcW w:w="6263" w:type="dxa"/>
            <w:gridSpan w:val="2"/>
            <w:vAlign w:val="center"/>
          </w:tcPr>
          <w:p w14:paraId="54EB2B1F" w14:textId="77777777" w:rsidR="00ED2C1F" w:rsidRPr="00D82997" w:rsidRDefault="00ED2C1F" w:rsidP="00397FF3">
            <w:pPr>
              <w:rPr>
                <w:sz w:val="20"/>
                <w:szCs w:val="20"/>
              </w:rPr>
            </w:pPr>
            <w:r w:rsidRPr="00D82997">
              <w:rPr>
                <w:sz w:val="20"/>
                <w:szCs w:val="20"/>
              </w:rPr>
              <w:t>Enhanced law enforcement Saturation/Party Patrols</w:t>
            </w:r>
          </w:p>
        </w:tc>
        <w:tc>
          <w:tcPr>
            <w:tcW w:w="1320" w:type="dxa"/>
            <w:vAlign w:val="center"/>
          </w:tcPr>
          <w:p w14:paraId="5CE214BC" w14:textId="77777777" w:rsidR="00ED2C1F" w:rsidRPr="00BA443E" w:rsidRDefault="00ED2C1F" w:rsidP="00D82997">
            <w:pPr>
              <w:jc w:val="center"/>
            </w:pPr>
            <w:r w:rsidRPr="00D82997">
              <w:sym w:font="Wingdings 2" w:char="F050"/>
            </w:r>
          </w:p>
        </w:tc>
        <w:tc>
          <w:tcPr>
            <w:tcW w:w="1320" w:type="dxa"/>
            <w:vAlign w:val="center"/>
          </w:tcPr>
          <w:p w14:paraId="68424D48" w14:textId="77777777" w:rsidR="00ED2C1F" w:rsidRPr="00BA443E" w:rsidRDefault="00ED2C1F" w:rsidP="00D82997">
            <w:pPr>
              <w:jc w:val="center"/>
            </w:pPr>
            <w:r w:rsidRPr="00D82997">
              <w:sym w:font="Wingdings 2" w:char="F050"/>
            </w:r>
          </w:p>
        </w:tc>
        <w:tc>
          <w:tcPr>
            <w:tcW w:w="1320" w:type="dxa"/>
            <w:vAlign w:val="center"/>
          </w:tcPr>
          <w:p w14:paraId="529BACF4" w14:textId="77777777" w:rsidR="00ED2C1F" w:rsidRPr="00BA443E" w:rsidRDefault="00ED2C1F" w:rsidP="00D82997">
            <w:pPr>
              <w:jc w:val="center"/>
            </w:pPr>
            <w:r w:rsidRPr="00D82997">
              <w:sym w:font="Wingdings 2" w:char="F050"/>
            </w:r>
          </w:p>
        </w:tc>
        <w:tc>
          <w:tcPr>
            <w:tcW w:w="1320" w:type="dxa"/>
            <w:vAlign w:val="center"/>
          </w:tcPr>
          <w:p w14:paraId="3946F8C3" w14:textId="77777777" w:rsidR="00ED2C1F" w:rsidRPr="00BA443E" w:rsidRDefault="00ED2C1F" w:rsidP="00D82997">
            <w:pPr>
              <w:jc w:val="center"/>
            </w:pPr>
            <w:r w:rsidRPr="00D82997">
              <w:sym w:font="Wingdings 2" w:char="F050"/>
            </w:r>
          </w:p>
        </w:tc>
        <w:tc>
          <w:tcPr>
            <w:tcW w:w="1320" w:type="dxa"/>
            <w:vAlign w:val="center"/>
          </w:tcPr>
          <w:p w14:paraId="72C22ECC" w14:textId="77777777" w:rsidR="00ED2C1F" w:rsidRPr="00BA443E" w:rsidRDefault="00ED2C1F" w:rsidP="00D82997">
            <w:pPr>
              <w:jc w:val="center"/>
            </w:pPr>
            <w:r w:rsidRPr="00D82997">
              <w:sym w:font="Wingdings 2" w:char="F050"/>
            </w:r>
          </w:p>
        </w:tc>
        <w:tc>
          <w:tcPr>
            <w:tcW w:w="1320" w:type="dxa"/>
            <w:vAlign w:val="center"/>
          </w:tcPr>
          <w:p w14:paraId="1E8A3FC6" w14:textId="77777777" w:rsidR="00ED2C1F" w:rsidRPr="00BA443E" w:rsidRDefault="00ED2C1F" w:rsidP="00D82997">
            <w:pPr>
              <w:jc w:val="center"/>
            </w:pPr>
            <w:r w:rsidRPr="00D82997">
              <w:sym w:font="Wingdings 2" w:char="F050"/>
            </w:r>
          </w:p>
        </w:tc>
      </w:tr>
      <w:tr w:rsidR="00ED2C1F" w:rsidRPr="00BA443E" w14:paraId="6C11B56E" w14:textId="77777777">
        <w:trPr>
          <w:jc w:val="center"/>
        </w:trPr>
        <w:tc>
          <w:tcPr>
            <w:tcW w:w="6263" w:type="dxa"/>
            <w:gridSpan w:val="2"/>
            <w:vAlign w:val="center"/>
          </w:tcPr>
          <w:p w14:paraId="50221C05" w14:textId="77777777" w:rsidR="00ED2C1F" w:rsidRPr="00D82997" w:rsidRDefault="00ED2C1F" w:rsidP="00397FF3">
            <w:pPr>
              <w:rPr>
                <w:sz w:val="20"/>
                <w:szCs w:val="20"/>
              </w:rPr>
            </w:pPr>
            <w:r w:rsidRPr="00D82997">
              <w:rPr>
                <w:sz w:val="20"/>
                <w:szCs w:val="20"/>
              </w:rPr>
              <w:t>Community mobilization</w:t>
            </w:r>
          </w:p>
        </w:tc>
        <w:tc>
          <w:tcPr>
            <w:tcW w:w="1320" w:type="dxa"/>
            <w:vAlign w:val="center"/>
          </w:tcPr>
          <w:p w14:paraId="4799D7F0" w14:textId="77777777" w:rsidR="00ED2C1F" w:rsidRPr="00BA443E" w:rsidRDefault="00ED2C1F" w:rsidP="00D82997">
            <w:pPr>
              <w:jc w:val="center"/>
            </w:pPr>
            <w:r w:rsidRPr="00D82997">
              <w:sym w:font="Wingdings 2" w:char="F050"/>
            </w:r>
          </w:p>
        </w:tc>
        <w:tc>
          <w:tcPr>
            <w:tcW w:w="1320" w:type="dxa"/>
            <w:vAlign w:val="center"/>
          </w:tcPr>
          <w:p w14:paraId="73FDF025" w14:textId="77777777" w:rsidR="00ED2C1F" w:rsidRPr="00BA443E" w:rsidRDefault="00ED2C1F" w:rsidP="00D82997">
            <w:pPr>
              <w:jc w:val="center"/>
            </w:pPr>
            <w:r w:rsidRPr="00D82997">
              <w:sym w:font="Wingdings 2" w:char="F050"/>
            </w:r>
          </w:p>
        </w:tc>
        <w:tc>
          <w:tcPr>
            <w:tcW w:w="1320" w:type="dxa"/>
            <w:vAlign w:val="center"/>
          </w:tcPr>
          <w:p w14:paraId="6FF2B319" w14:textId="77777777" w:rsidR="00ED2C1F" w:rsidRPr="00BA443E" w:rsidRDefault="00ED2C1F" w:rsidP="00D82997">
            <w:pPr>
              <w:jc w:val="center"/>
            </w:pPr>
            <w:r w:rsidRPr="00D82997">
              <w:sym w:font="Wingdings 2" w:char="F050"/>
            </w:r>
          </w:p>
        </w:tc>
        <w:tc>
          <w:tcPr>
            <w:tcW w:w="1320" w:type="dxa"/>
            <w:vAlign w:val="center"/>
          </w:tcPr>
          <w:p w14:paraId="4CCDC96E" w14:textId="77777777" w:rsidR="00ED2C1F" w:rsidRPr="00BA443E" w:rsidRDefault="00ED2C1F" w:rsidP="00D82997">
            <w:pPr>
              <w:jc w:val="center"/>
            </w:pPr>
            <w:r w:rsidRPr="00D82997">
              <w:sym w:font="Wingdings 2" w:char="F050"/>
            </w:r>
          </w:p>
        </w:tc>
        <w:tc>
          <w:tcPr>
            <w:tcW w:w="1320" w:type="dxa"/>
            <w:vAlign w:val="center"/>
          </w:tcPr>
          <w:p w14:paraId="0DB56AD7" w14:textId="77777777" w:rsidR="00ED2C1F" w:rsidRPr="00BA443E" w:rsidRDefault="00ED2C1F" w:rsidP="00D82997">
            <w:pPr>
              <w:jc w:val="center"/>
            </w:pPr>
            <w:r w:rsidRPr="00D82997">
              <w:sym w:font="Wingdings 2" w:char="F050"/>
            </w:r>
          </w:p>
        </w:tc>
        <w:tc>
          <w:tcPr>
            <w:tcW w:w="1320" w:type="dxa"/>
            <w:vAlign w:val="center"/>
          </w:tcPr>
          <w:p w14:paraId="03D06079" w14:textId="77777777" w:rsidR="00ED2C1F" w:rsidRPr="00BA443E" w:rsidRDefault="00ED2C1F" w:rsidP="00D82997">
            <w:pPr>
              <w:jc w:val="center"/>
            </w:pPr>
            <w:r w:rsidRPr="00D82997">
              <w:sym w:font="Wingdings 2" w:char="F050"/>
            </w:r>
          </w:p>
        </w:tc>
      </w:tr>
      <w:tr w:rsidR="00ED2C1F" w:rsidRPr="00BA443E" w14:paraId="196A4A73" w14:textId="77777777">
        <w:trPr>
          <w:jc w:val="center"/>
        </w:trPr>
        <w:tc>
          <w:tcPr>
            <w:tcW w:w="6263" w:type="dxa"/>
            <w:gridSpan w:val="2"/>
            <w:vAlign w:val="center"/>
          </w:tcPr>
          <w:p w14:paraId="7E6A34FE" w14:textId="77777777" w:rsidR="00ED2C1F" w:rsidRPr="00D82997" w:rsidRDefault="00ED2C1F" w:rsidP="00397FF3">
            <w:pPr>
              <w:rPr>
                <w:sz w:val="20"/>
                <w:szCs w:val="20"/>
              </w:rPr>
            </w:pPr>
            <w:r w:rsidRPr="00D82997">
              <w:rPr>
                <w:sz w:val="20"/>
                <w:szCs w:val="20"/>
              </w:rPr>
              <w:t>Media advocacy</w:t>
            </w:r>
          </w:p>
        </w:tc>
        <w:tc>
          <w:tcPr>
            <w:tcW w:w="1320" w:type="dxa"/>
            <w:vAlign w:val="center"/>
          </w:tcPr>
          <w:p w14:paraId="4B7FF42D" w14:textId="77777777" w:rsidR="00ED2C1F" w:rsidRPr="00BA443E" w:rsidRDefault="00ED2C1F" w:rsidP="00D82997">
            <w:pPr>
              <w:jc w:val="center"/>
            </w:pPr>
            <w:r w:rsidRPr="00D82997">
              <w:sym w:font="Wingdings 2" w:char="F050"/>
            </w:r>
          </w:p>
        </w:tc>
        <w:tc>
          <w:tcPr>
            <w:tcW w:w="1320" w:type="dxa"/>
            <w:vAlign w:val="center"/>
          </w:tcPr>
          <w:p w14:paraId="06C73E97" w14:textId="77777777" w:rsidR="00ED2C1F" w:rsidRPr="00BA443E" w:rsidRDefault="00ED2C1F" w:rsidP="00D82997">
            <w:pPr>
              <w:jc w:val="center"/>
            </w:pPr>
            <w:r w:rsidRPr="00D82997">
              <w:sym w:font="Wingdings 2" w:char="F050"/>
            </w:r>
          </w:p>
        </w:tc>
        <w:tc>
          <w:tcPr>
            <w:tcW w:w="1320" w:type="dxa"/>
            <w:vAlign w:val="center"/>
          </w:tcPr>
          <w:p w14:paraId="24B8CAF9" w14:textId="77777777" w:rsidR="00ED2C1F" w:rsidRPr="00BA443E" w:rsidRDefault="00ED2C1F" w:rsidP="00D82997">
            <w:pPr>
              <w:jc w:val="center"/>
            </w:pPr>
            <w:r w:rsidRPr="00D82997">
              <w:sym w:font="Wingdings 2" w:char="F050"/>
            </w:r>
          </w:p>
        </w:tc>
        <w:tc>
          <w:tcPr>
            <w:tcW w:w="1320" w:type="dxa"/>
            <w:vAlign w:val="center"/>
          </w:tcPr>
          <w:p w14:paraId="604F7B10" w14:textId="77777777" w:rsidR="00ED2C1F" w:rsidRPr="00BA443E" w:rsidRDefault="00ED2C1F" w:rsidP="00D82997">
            <w:pPr>
              <w:jc w:val="center"/>
            </w:pPr>
            <w:r w:rsidRPr="00D82997">
              <w:sym w:font="Wingdings 2" w:char="F050"/>
            </w:r>
          </w:p>
        </w:tc>
        <w:tc>
          <w:tcPr>
            <w:tcW w:w="1320" w:type="dxa"/>
            <w:vAlign w:val="center"/>
          </w:tcPr>
          <w:p w14:paraId="6430EF06" w14:textId="77777777" w:rsidR="00ED2C1F" w:rsidRPr="00BA443E" w:rsidRDefault="00ED2C1F" w:rsidP="00D82997">
            <w:pPr>
              <w:jc w:val="center"/>
            </w:pPr>
            <w:r w:rsidRPr="00D82997">
              <w:sym w:font="Wingdings 2" w:char="F050"/>
            </w:r>
          </w:p>
        </w:tc>
        <w:tc>
          <w:tcPr>
            <w:tcW w:w="1320" w:type="dxa"/>
            <w:vAlign w:val="center"/>
          </w:tcPr>
          <w:p w14:paraId="444EADB1" w14:textId="77777777" w:rsidR="00ED2C1F" w:rsidRPr="00BA443E" w:rsidRDefault="00ED2C1F" w:rsidP="00D82997">
            <w:pPr>
              <w:jc w:val="center"/>
            </w:pPr>
            <w:r w:rsidRPr="00D82997">
              <w:sym w:font="Wingdings 2" w:char="F050"/>
            </w:r>
          </w:p>
        </w:tc>
      </w:tr>
      <w:tr w:rsidR="00ED2C1F" w:rsidRPr="00BA443E" w14:paraId="3F666F5D" w14:textId="77777777">
        <w:trPr>
          <w:jc w:val="center"/>
        </w:trPr>
        <w:tc>
          <w:tcPr>
            <w:tcW w:w="6263" w:type="dxa"/>
            <w:gridSpan w:val="2"/>
            <w:vAlign w:val="center"/>
          </w:tcPr>
          <w:p w14:paraId="1DB6EDE1" w14:textId="77777777" w:rsidR="00ED2C1F" w:rsidRPr="00D82997" w:rsidRDefault="00ED2C1F" w:rsidP="00397FF3">
            <w:pPr>
              <w:rPr>
                <w:sz w:val="20"/>
                <w:szCs w:val="20"/>
              </w:rPr>
            </w:pPr>
            <w:r w:rsidRPr="00D82997">
              <w:rPr>
                <w:sz w:val="20"/>
                <w:szCs w:val="20"/>
              </w:rPr>
              <w:t>Education and outreach to community on proper storage and safe disposal of unused prescription drugs</w:t>
            </w:r>
          </w:p>
        </w:tc>
        <w:tc>
          <w:tcPr>
            <w:tcW w:w="1320" w:type="dxa"/>
            <w:vAlign w:val="center"/>
          </w:tcPr>
          <w:p w14:paraId="0DD08AE3" w14:textId="77777777" w:rsidR="00ED2C1F" w:rsidRPr="00BA443E" w:rsidRDefault="00ED2C1F" w:rsidP="00D82997">
            <w:pPr>
              <w:jc w:val="center"/>
            </w:pPr>
            <w:r w:rsidRPr="00D82997">
              <w:sym w:font="Wingdings 2" w:char="F050"/>
            </w:r>
          </w:p>
        </w:tc>
        <w:tc>
          <w:tcPr>
            <w:tcW w:w="1320" w:type="dxa"/>
            <w:vAlign w:val="center"/>
          </w:tcPr>
          <w:p w14:paraId="146CD825" w14:textId="77777777" w:rsidR="00ED2C1F" w:rsidRPr="00BA443E" w:rsidRDefault="00ED2C1F" w:rsidP="00D82997">
            <w:pPr>
              <w:jc w:val="center"/>
            </w:pPr>
            <w:r w:rsidRPr="00D82997">
              <w:sym w:font="Wingdings 2" w:char="F050"/>
            </w:r>
          </w:p>
        </w:tc>
        <w:tc>
          <w:tcPr>
            <w:tcW w:w="1320" w:type="dxa"/>
            <w:vAlign w:val="center"/>
          </w:tcPr>
          <w:p w14:paraId="2EACC754" w14:textId="77777777" w:rsidR="00ED2C1F" w:rsidRPr="00BA443E" w:rsidRDefault="00ED2C1F" w:rsidP="00D82997">
            <w:pPr>
              <w:jc w:val="center"/>
            </w:pPr>
            <w:r w:rsidRPr="00D82997">
              <w:sym w:font="Wingdings 2" w:char="F050"/>
            </w:r>
          </w:p>
        </w:tc>
        <w:tc>
          <w:tcPr>
            <w:tcW w:w="1320" w:type="dxa"/>
            <w:vAlign w:val="center"/>
          </w:tcPr>
          <w:p w14:paraId="3567AAB9" w14:textId="77777777" w:rsidR="00ED2C1F" w:rsidRPr="00BA443E" w:rsidRDefault="00ED2C1F" w:rsidP="00D82997">
            <w:pPr>
              <w:jc w:val="center"/>
            </w:pPr>
            <w:r w:rsidRPr="00D82997">
              <w:sym w:font="Wingdings 2" w:char="F050"/>
            </w:r>
          </w:p>
        </w:tc>
        <w:tc>
          <w:tcPr>
            <w:tcW w:w="1320" w:type="dxa"/>
            <w:vAlign w:val="center"/>
          </w:tcPr>
          <w:p w14:paraId="650D4070" w14:textId="77777777" w:rsidR="00ED2C1F" w:rsidRPr="00BA443E" w:rsidRDefault="00ED2C1F" w:rsidP="00D82997">
            <w:pPr>
              <w:jc w:val="center"/>
            </w:pPr>
            <w:r w:rsidRPr="00D82997">
              <w:sym w:font="Wingdings 2" w:char="F050"/>
            </w:r>
          </w:p>
        </w:tc>
        <w:tc>
          <w:tcPr>
            <w:tcW w:w="1320" w:type="dxa"/>
            <w:vAlign w:val="center"/>
          </w:tcPr>
          <w:p w14:paraId="486E0298" w14:textId="77777777" w:rsidR="00ED2C1F" w:rsidRPr="00BA443E" w:rsidRDefault="00ED2C1F" w:rsidP="00D82997">
            <w:pPr>
              <w:jc w:val="center"/>
            </w:pPr>
            <w:r w:rsidRPr="00D82997">
              <w:sym w:font="Wingdings 2" w:char="F050"/>
            </w:r>
          </w:p>
        </w:tc>
      </w:tr>
      <w:tr w:rsidR="00ED2C1F" w:rsidRPr="00BA443E" w14:paraId="6DCCF411" w14:textId="77777777">
        <w:trPr>
          <w:jc w:val="center"/>
        </w:trPr>
        <w:tc>
          <w:tcPr>
            <w:tcW w:w="6263" w:type="dxa"/>
            <w:gridSpan w:val="2"/>
            <w:vAlign w:val="center"/>
          </w:tcPr>
          <w:p w14:paraId="57CB1D13" w14:textId="77777777" w:rsidR="00ED2C1F" w:rsidRPr="00D82997" w:rsidRDefault="00ED2C1F" w:rsidP="00397FF3">
            <w:pPr>
              <w:rPr>
                <w:sz w:val="20"/>
                <w:szCs w:val="20"/>
              </w:rPr>
            </w:pPr>
            <w:r w:rsidRPr="00D82997">
              <w:rPr>
                <w:sz w:val="20"/>
                <w:szCs w:val="20"/>
              </w:rPr>
              <w:t>Outreach to pharmacists and prescribers on providing education to patients on prescription drug misuse, safe storage and disposal</w:t>
            </w:r>
          </w:p>
        </w:tc>
        <w:tc>
          <w:tcPr>
            <w:tcW w:w="1320" w:type="dxa"/>
            <w:vAlign w:val="center"/>
          </w:tcPr>
          <w:p w14:paraId="26273706" w14:textId="77777777" w:rsidR="00ED2C1F" w:rsidRPr="00BA443E" w:rsidRDefault="00ED2C1F" w:rsidP="00D82997">
            <w:pPr>
              <w:jc w:val="center"/>
            </w:pPr>
            <w:r w:rsidRPr="00D82997">
              <w:sym w:font="Wingdings 2" w:char="F050"/>
            </w:r>
          </w:p>
        </w:tc>
        <w:tc>
          <w:tcPr>
            <w:tcW w:w="1320" w:type="dxa"/>
            <w:vAlign w:val="center"/>
          </w:tcPr>
          <w:p w14:paraId="4976A1D8" w14:textId="77777777" w:rsidR="00ED2C1F" w:rsidRPr="00BA443E" w:rsidRDefault="00ED2C1F" w:rsidP="00D82997">
            <w:pPr>
              <w:jc w:val="center"/>
            </w:pPr>
            <w:r w:rsidRPr="00D82997">
              <w:sym w:font="Wingdings 2" w:char="F050"/>
            </w:r>
          </w:p>
        </w:tc>
        <w:tc>
          <w:tcPr>
            <w:tcW w:w="1320" w:type="dxa"/>
            <w:vAlign w:val="center"/>
          </w:tcPr>
          <w:p w14:paraId="672BABF1" w14:textId="77777777" w:rsidR="00ED2C1F" w:rsidRPr="00BA443E" w:rsidRDefault="00ED2C1F" w:rsidP="00D82997">
            <w:pPr>
              <w:jc w:val="center"/>
            </w:pPr>
            <w:r w:rsidRPr="00D82997">
              <w:sym w:font="Wingdings 2" w:char="F050"/>
            </w:r>
          </w:p>
        </w:tc>
        <w:tc>
          <w:tcPr>
            <w:tcW w:w="1320" w:type="dxa"/>
            <w:vAlign w:val="center"/>
          </w:tcPr>
          <w:p w14:paraId="1170198A" w14:textId="77777777" w:rsidR="00ED2C1F" w:rsidRPr="00BA443E" w:rsidRDefault="00ED2C1F" w:rsidP="00D82997">
            <w:pPr>
              <w:jc w:val="center"/>
            </w:pPr>
            <w:r w:rsidRPr="00D82997">
              <w:sym w:font="Wingdings 2" w:char="F050"/>
            </w:r>
          </w:p>
        </w:tc>
        <w:tc>
          <w:tcPr>
            <w:tcW w:w="1320" w:type="dxa"/>
            <w:vAlign w:val="center"/>
          </w:tcPr>
          <w:p w14:paraId="14908692" w14:textId="77777777" w:rsidR="00ED2C1F" w:rsidRPr="00BA443E" w:rsidRDefault="00ED2C1F" w:rsidP="00D82997">
            <w:pPr>
              <w:jc w:val="center"/>
            </w:pPr>
            <w:r w:rsidRPr="00D82997">
              <w:sym w:font="Wingdings 2" w:char="F050"/>
            </w:r>
          </w:p>
        </w:tc>
        <w:tc>
          <w:tcPr>
            <w:tcW w:w="1320" w:type="dxa"/>
            <w:vAlign w:val="center"/>
          </w:tcPr>
          <w:p w14:paraId="078754CD" w14:textId="77777777" w:rsidR="00ED2C1F" w:rsidRPr="00BA443E" w:rsidRDefault="00ED2C1F" w:rsidP="00D82997">
            <w:pPr>
              <w:jc w:val="center"/>
            </w:pPr>
            <w:r w:rsidRPr="00D82997">
              <w:sym w:font="Wingdings 2" w:char="F050"/>
            </w:r>
          </w:p>
        </w:tc>
      </w:tr>
      <w:tr w:rsidR="00ED2C1F" w:rsidRPr="00BA443E" w14:paraId="7934237C" w14:textId="77777777">
        <w:trPr>
          <w:jc w:val="center"/>
        </w:trPr>
        <w:tc>
          <w:tcPr>
            <w:tcW w:w="6263" w:type="dxa"/>
            <w:gridSpan w:val="2"/>
            <w:vAlign w:val="center"/>
          </w:tcPr>
          <w:p w14:paraId="6ABC27D6" w14:textId="77777777" w:rsidR="00ED2C1F" w:rsidRPr="00D82997" w:rsidRDefault="00ED2C1F" w:rsidP="00397FF3">
            <w:pPr>
              <w:rPr>
                <w:sz w:val="20"/>
                <w:szCs w:val="20"/>
              </w:rPr>
            </w:pPr>
            <w:r w:rsidRPr="00D82997">
              <w:rPr>
                <w:sz w:val="20"/>
                <w:szCs w:val="20"/>
              </w:rPr>
              <w:t>Support DLC’s Responsible Beverage Service Training</w:t>
            </w:r>
          </w:p>
        </w:tc>
        <w:tc>
          <w:tcPr>
            <w:tcW w:w="1320" w:type="dxa"/>
            <w:vAlign w:val="center"/>
          </w:tcPr>
          <w:p w14:paraId="4F5119BA" w14:textId="77777777" w:rsidR="00ED2C1F" w:rsidRPr="00BA443E" w:rsidRDefault="00ED2C1F" w:rsidP="00D82997">
            <w:pPr>
              <w:jc w:val="center"/>
            </w:pPr>
            <w:r w:rsidRPr="00D82997">
              <w:sym w:font="Wingdings 2" w:char="F050"/>
            </w:r>
          </w:p>
        </w:tc>
        <w:tc>
          <w:tcPr>
            <w:tcW w:w="1320" w:type="dxa"/>
            <w:vAlign w:val="center"/>
          </w:tcPr>
          <w:p w14:paraId="7554DE5E" w14:textId="77777777" w:rsidR="00ED2C1F" w:rsidRPr="00BA443E" w:rsidRDefault="00ED2C1F" w:rsidP="00D82997">
            <w:pPr>
              <w:jc w:val="center"/>
            </w:pPr>
            <w:r w:rsidRPr="00D82997">
              <w:sym w:font="Wingdings 2" w:char="F050"/>
            </w:r>
          </w:p>
        </w:tc>
        <w:tc>
          <w:tcPr>
            <w:tcW w:w="1320" w:type="dxa"/>
            <w:vAlign w:val="center"/>
          </w:tcPr>
          <w:p w14:paraId="53E3A845" w14:textId="77777777" w:rsidR="00ED2C1F" w:rsidRPr="00BA443E" w:rsidRDefault="00ED2C1F" w:rsidP="00D82997">
            <w:pPr>
              <w:jc w:val="center"/>
            </w:pPr>
            <w:r w:rsidRPr="00D82997">
              <w:sym w:font="Wingdings 2" w:char="F050"/>
            </w:r>
          </w:p>
        </w:tc>
        <w:tc>
          <w:tcPr>
            <w:tcW w:w="1320" w:type="dxa"/>
            <w:vAlign w:val="center"/>
          </w:tcPr>
          <w:p w14:paraId="5FBB3D1A" w14:textId="77777777" w:rsidR="00ED2C1F" w:rsidRPr="00BA443E" w:rsidRDefault="00ED2C1F" w:rsidP="00D82997">
            <w:pPr>
              <w:jc w:val="center"/>
            </w:pPr>
            <w:r w:rsidRPr="00D82997">
              <w:sym w:font="Wingdings 2" w:char="F050"/>
            </w:r>
          </w:p>
        </w:tc>
        <w:tc>
          <w:tcPr>
            <w:tcW w:w="1320" w:type="dxa"/>
            <w:vAlign w:val="center"/>
          </w:tcPr>
          <w:p w14:paraId="2D23E6B6" w14:textId="77777777" w:rsidR="00ED2C1F" w:rsidRPr="00BA443E" w:rsidRDefault="00ED2C1F" w:rsidP="00D82997">
            <w:pPr>
              <w:jc w:val="center"/>
            </w:pPr>
            <w:r w:rsidRPr="00D82997">
              <w:sym w:font="Wingdings 2" w:char="F050"/>
            </w:r>
          </w:p>
        </w:tc>
        <w:tc>
          <w:tcPr>
            <w:tcW w:w="1320" w:type="dxa"/>
            <w:vAlign w:val="center"/>
          </w:tcPr>
          <w:p w14:paraId="5556ACE8" w14:textId="77777777" w:rsidR="00ED2C1F" w:rsidRPr="00BA443E" w:rsidRDefault="00ED2C1F" w:rsidP="00D82997">
            <w:pPr>
              <w:jc w:val="center"/>
            </w:pPr>
            <w:r w:rsidRPr="00D82997">
              <w:sym w:font="Wingdings 2" w:char="F050"/>
            </w:r>
          </w:p>
        </w:tc>
      </w:tr>
      <w:tr w:rsidR="00ED2C1F" w:rsidRPr="00BA443E" w14:paraId="2A6D01F8" w14:textId="77777777">
        <w:trPr>
          <w:jc w:val="center"/>
        </w:trPr>
        <w:tc>
          <w:tcPr>
            <w:tcW w:w="6263" w:type="dxa"/>
            <w:gridSpan w:val="2"/>
            <w:vAlign w:val="center"/>
          </w:tcPr>
          <w:p w14:paraId="604238C4" w14:textId="77777777" w:rsidR="00ED2C1F" w:rsidRPr="00D82997" w:rsidRDefault="00ED2C1F" w:rsidP="00397FF3">
            <w:pPr>
              <w:rPr>
                <w:sz w:val="20"/>
                <w:szCs w:val="20"/>
              </w:rPr>
            </w:pPr>
            <w:r w:rsidRPr="00D82997">
              <w:rPr>
                <w:sz w:val="20"/>
                <w:szCs w:val="20"/>
              </w:rPr>
              <w:t>Retailer Recognition for Passing Compliance Checks</w:t>
            </w:r>
          </w:p>
        </w:tc>
        <w:tc>
          <w:tcPr>
            <w:tcW w:w="1320" w:type="dxa"/>
            <w:vAlign w:val="center"/>
          </w:tcPr>
          <w:p w14:paraId="6788A69F" w14:textId="77777777" w:rsidR="00ED2C1F" w:rsidRPr="00BA443E" w:rsidRDefault="00ED2C1F" w:rsidP="00D82997">
            <w:pPr>
              <w:jc w:val="center"/>
            </w:pPr>
            <w:r w:rsidRPr="00D82997">
              <w:sym w:font="Wingdings 2" w:char="F050"/>
            </w:r>
          </w:p>
        </w:tc>
        <w:tc>
          <w:tcPr>
            <w:tcW w:w="1320" w:type="dxa"/>
            <w:vAlign w:val="center"/>
          </w:tcPr>
          <w:p w14:paraId="006CFF6D" w14:textId="77777777" w:rsidR="00ED2C1F" w:rsidRPr="00BA443E" w:rsidRDefault="00ED2C1F" w:rsidP="00D82997">
            <w:pPr>
              <w:jc w:val="center"/>
            </w:pPr>
            <w:r w:rsidRPr="00D82997">
              <w:sym w:font="Wingdings 2" w:char="F050"/>
            </w:r>
          </w:p>
        </w:tc>
        <w:tc>
          <w:tcPr>
            <w:tcW w:w="1320" w:type="dxa"/>
            <w:vAlign w:val="center"/>
          </w:tcPr>
          <w:p w14:paraId="708FAE05" w14:textId="77777777" w:rsidR="00ED2C1F" w:rsidRPr="00BA443E" w:rsidRDefault="00ED2C1F" w:rsidP="00D82997">
            <w:pPr>
              <w:jc w:val="center"/>
            </w:pPr>
            <w:r w:rsidRPr="00D82997">
              <w:sym w:font="Wingdings 2" w:char="F050"/>
            </w:r>
          </w:p>
        </w:tc>
        <w:tc>
          <w:tcPr>
            <w:tcW w:w="1320" w:type="dxa"/>
            <w:vAlign w:val="center"/>
          </w:tcPr>
          <w:p w14:paraId="5313E336" w14:textId="77777777" w:rsidR="00ED2C1F" w:rsidRPr="00BA443E" w:rsidRDefault="00ED2C1F" w:rsidP="00D82997">
            <w:pPr>
              <w:jc w:val="center"/>
            </w:pPr>
            <w:r w:rsidRPr="00D82997">
              <w:sym w:font="Wingdings 2" w:char="F050"/>
            </w:r>
          </w:p>
        </w:tc>
        <w:tc>
          <w:tcPr>
            <w:tcW w:w="1320" w:type="dxa"/>
            <w:vAlign w:val="center"/>
          </w:tcPr>
          <w:p w14:paraId="3D007B7D" w14:textId="77777777" w:rsidR="00ED2C1F" w:rsidRPr="00BA443E" w:rsidRDefault="00ED2C1F" w:rsidP="00D82997">
            <w:pPr>
              <w:jc w:val="center"/>
            </w:pPr>
            <w:r w:rsidRPr="00D82997">
              <w:sym w:font="Wingdings 2" w:char="F050"/>
            </w:r>
          </w:p>
        </w:tc>
        <w:tc>
          <w:tcPr>
            <w:tcW w:w="1320" w:type="dxa"/>
            <w:vAlign w:val="center"/>
          </w:tcPr>
          <w:p w14:paraId="568E4153" w14:textId="77777777" w:rsidR="00ED2C1F" w:rsidRPr="00BA443E" w:rsidRDefault="00ED2C1F" w:rsidP="00D82997">
            <w:pPr>
              <w:jc w:val="center"/>
            </w:pPr>
            <w:r w:rsidRPr="00D82997">
              <w:sym w:font="Wingdings 2" w:char="F050"/>
            </w:r>
          </w:p>
        </w:tc>
      </w:tr>
      <w:tr w:rsidR="00ED2C1F" w:rsidRPr="00BA443E" w14:paraId="52626141" w14:textId="77777777">
        <w:trPr>
          <w:jc w:val="center"/>
        </w:trPr>
        <w:tc>
          <w:tcPr>
            <w:tcW w:w="6263" w:type="dxa"/>
            <w:gridSpan w:val="2"/>
            <w:vAlign w:val="center"/>
          </w:tcPr>
          <w:p w14:paraId="32F14164" w14:textId="77777777" w:rsidR="00ED2C1F" w:rsidRPr="00D82997" w:rsidRDefault="00ED2C1F" w:rsidP="00397FF3">
            <w:pPr>
              <w:rPr>
                <w:sz w:val="20"/>
                <w:szCs w:val="20"/>
              </w:rPr>
            </w:pPr>
            <w:r w:rsidRPr="00D82997">
              <w:rPr>
                <w:sz w:val="20"/>
                <w:szCs w:val="20"/>
              </w:rPr>
              <w:t>Alcohol Edu</w:t>
            </w:r>
          </w:p>
        </w:tc>
        <w:tc>
          <w:tcPr>
            <w:tcW w:w="1320" w:type="dxa"/>
            <w:vAlign w:val="center"/>
          </w:tcPr>
          <w:p w14:paraId="6C6658F1" w14:textId="77777777" w:rsidR="00ED2C1F" w:rsidRPr="00BA443E" w:rsidRDefault="00ED2C1F" w:rsidP="00D82997">
            <w:pPr>
              <w:jc w:val="center"/>
            </w:pPr>
          </w:p>
        </w:tc>
        <w:tc>
          <w:tcPr>
            <w:tcW w:w="1320" w:type="dxa"/>
            <w:vAlign w:val="center"/>
          </w:tcPr>
          <w:p w14:paraId="2D6EF78F" w14:textId="77777777" w:rsidR="00ED2C1F" w:rsidRPr="00BA443E" w:rsidRDefault="00ED2C1F" w:rsidP="00D82997">
            <w:pPr>
              <w:jc w:val="center"/>
            </w:pPr>
            <w:r w:rsidRPr="00D82997">
              <w:sym w:font="Wingdings 2" w:char="F050"/>
            </w:r>
          </w:p>
        </w:tc>
        <w:tc>
          <w:tcPr>
            <w:tcW w:w="1320" w:type="dxa"/>
            <w:vAlign w:val="center"/>
          </w:tcPr>
          <w:p w14:paraId="151BF2E8" w14:textId="77777777" w:rsidR="00ED2C1F" w:rsidRPr="00BA443E" w:rsidRDefault="00ED2C1F" w:rsidP="00D82997">
            <w:pPr>
              <w:jc w:val="center"/>
            </w:pPr>
          </w:p>
        </w:tc>
        <w:tc>
          <w:tcPr>
            <w:tcW w:w="1320" w:type="dxa"/>
            <w:vAlign w:val="center"/>
          </w:tcPr>
          <w:p w14:paraId="6C426C78" w14:textId="77777777" w:rsidR="00ED2C1F" w:rsidRPr="00BA443E" w:rsidRDefault="00ED2C1F" w:rsidP="00D82997">
            <w:pPr>
              <w:jc w:val="center"/>
            </w:pPr>
          </w:p>
        </w:tc>
        <w:tc>
          <w:tcPr>
            <w:tcW w:w="1320" w:type="dxa"/>
            <w:vAlign w:val="center"/>
          </w:tcPr>
          <w:p w14:paraId="4B482EA8" w14:textId="77777777" w:rsidR="00ED2C1F" w:rsidRPr="00BA443E" w:rsidRDefault="00ED2C1F" w:rsidP="00D82997">
            <w:pPr>
              <w:jc w:val="center"/>
            </w:pPr>
          </w:p>
        </w:tc>
        <w:tc>
          <w:tcPr>
            <w:tcW w:w="1320" w:type="dxa"/>
            <w:vAlign w:val="center"/>
          </w:tcPr>
          <w:p w14:paraId="2B32AEA3" w14:textId="77777777" w:rsidR="00ED2C1F" w:rsidRPr="00BA443E" w:rsidRDefault="00ED2C1F" w:rsidP="00D82997">
            <w:pPr>
              <w:jc w:val="center"/>
            </w:pPr>
          </w:p>
        </w:tc>
      </w:tr>
      <w:tr w:rsidR="00ED2C1F" w:rsidRPr="00BA443E" w14:paraId="3B5D0AC1" w14:textId="77777777">
        <w:trPr>
          <w:jc w:val="center"/>
        </w:trPr>
        <w:tc>
          <w:tcPr>
            <w:tcW w:w="6263" w:type="dxa"/>
            <w:gridSpan w:val="2"/>
            <w:vAlign w:val="center"/>
          </w:tcPr>
          <w:p w14:paraId="2339E3BD" w14:textId="77777777" w:rsidR="00ED2C1F" w:rsidRPr="00D82997" w:rsidRDefault="00ED2C1F" w:rsidP="00397FF3">
            <w:pPr>
              <w:rPr>
                <w:sz w:val="20"/>
                <w:szCs w:val="20"/>
              </w:rPr>
            </w:pPr>
            <w:r w:rsidRPr="00D82997">
              <w:rPr>
                <w:sz w:val="20"/>
                <w:szCs w:val="20"/>
              </w:rPr>
              <w:t>eCheckup</w:t>
            </w:r>
          </w:p>
        </w:tc>
        <w:tc>
          <w:tcPr>
            <w:tcW w:w="1320" w:type="dxa"/>
            <w:vAlign w:val="center"/>
          </w:tcPr>
          <w:p w14:paraId="7EE29D6D" w14:textId="77777777" w:rsidR="00ED2C1F" w:rsidRPr="00BA443E" w:rsidRDefault="00ED2C1F" w:rsidP="00D82997">
            <w:pPr>
              <w:jc w:val="center"/>
            </w:pPr>
          </w:p>
        </w:tc>
        <w:tc>
          <w:tcPr>
            <w:tcW w:w="1320" w:type="dxa"/>
            <w:vAlign w:val="center"/>
          </w:tcPr>
          <w:p w14:paraId="56BE61A5" w14:textId="77777777" w:rsidR="00ED2C1F" w:rsidRPr="00BA443E" w:rsidRDefault="00ED2C1F" w:rsidP="00D82997">
            <w:pPr>
              <w:jc w:val="center"/>
            </w:pPr>
            <w:r w:rsidRPr="00D82997">
              <w:sym w:font="Wingdings 2" w:char="F050"/>
            </w:r>
          </w:p>
        </w:tc>
        <w:tc>
          <w:tcPr>
            <w:tcW w:w="1320" w:type="dxa"/>
            <w:vAlign w:val="center"/>
          </w:tcPr>
          <w:p w14:paraId="60B4EB4E" w14:textId="77777777" w:rsidR="00ED2C1F" w:rsidRPr="00BA443E" w:rsidRDefault="00ED2C1F" w:rsidP="00D82997">
            <w:pPr>
              <w:jc w:val="center"/>
            </w:pPr>
          </w:p>
        </w:tc>
        <w:tc>
          <w:tcPr>
            <w:tcW w:w="1320" w:type="dxa"/>
            <w:vAlign w:val="center"/>
          </w:tcPr>
          <w:p w14:paraId="17B3EC8D" w14:textId="77777777" w:rsidR="00ED2C1F" w:rsidRPr="00BA443E" w:rsidRDefault="00ED2C1F" w:rsidP="00D82997">
            <w:pPr>
              <w:jc w:val="center"/>
            </w:pPr>
            <w:r w:rsidRPr="00D82997">
              <w:sym w:font="Wingdings 2" w:char="F050"/>
            </w:r>
          </w:p>
        </w:tc>
        <w:tc>
          <w:tcPr>
            <w:tcW w:w="1320" w:type="dxa"/>
            <w:vAlign w:val="center"/>
          </w:tcPr>
          <w:p w14:paraId="6C868F33" w14:textId="77777777" w:rsidR="00ED2C1F" w:rsidRPr="00BA443E" w:rsidRDefault="00ED2C1F" w:rsidP="00D82997">
            <w:pPr>
              <w:jc w:val="center"/>
            </w:pPr>
          </w:p>
        </w:tc>
        <w:tc>
          <w:tcPr>
            <w:tcW w:w="1320" w:type="dxa"/>
            <w:vAlign w:val="center"/>
          </w:tcPr>
          <w:p w14:paraId="0130774A" w14:textId="77777777" w:rsidR="00ED2C1F" w:rsidRPr="00BA443E" w:rsidRDefault="00ED2C1F" w:rsidP="00D82997">
            <w:pPr>
              <w:jc w:val="center"/>
            </w:pPr>
          </w:p>
        </w:tc>
      </w:tr>
      <w:tr w:rsidR="00ED2C1F" w:rsidRPr="00BA443E" w14:paraId="4201998B" w14:textId="77777777">
        <w:trPr>
          <w:jc w:val="center"/>
        </w:trPr>
        <w:tc>
          <w:tcPr>
            <w:tcW w:w="6263" w:type="dxa"/>
            <w:gridSpan w:val="2"/>
            <w:vAlign w:val="center"/>
          </w:tcPr>
          <w:p w14:paraId="7B7262C8" w14:textId="77777777" w:rsidR="00ED2C1F" w:rsidRPr="00D82997" w:rsidRDefault="00ED2C1F" w:rsidP="00397FF3">
            <w:pPr>
              <w:rPr>
                <w:sz w:val="20"/>
                <w:szCs w:val="20"/>
              </w:rPr>
            </w:pPr>
            <w:r w:rsidRPr="00D82997">
              <w:rPr>
                <w:sz w:val="20"/>
                <w:szCs w:val="20"/>
              </w:rPr>
              <w:t>Guiding Good Choices</w:t>
            </w:r>
          </w:p>
        </w:tc>
        <w:tc>
          <w:tcPr>
            <w:tcW w:w="1320" w:type="dxa"/>
            <w:vAlign w:val="center"/>
          </w:tcPr>
          <w:p w14:paraId="6E4481B3" w14:textId="77777777" w:rsidR="00ED2C1F" w:rsidRPr="00BA443E" w:rsidRDefault="00ED2C1F" w:rsidP="00D82997">
            <w:pPr>
              <w:jc w:val="center"/>
            </w:pPr>
            <w:r w:rsidRPr="00D82997">
              <w:sym w:font="Wingdings 2" w:char="F050"/>
            </w:r>
          </w:p>
        </w:tc>
        <w:tc>
          <w:tcPr>
            <w:tcW w:w="1320" w:type="dxa"/>
            <w:vAlign w:val="center"/>
          </w:tcPr>
          <w:p w14:paraId="5530915C" w14:textId="77777777" w:rsidR="00ED2C1F" w:rsidRPr="00BA443E" w:rsidRDefault="00ED2C1F" w:rsidP="00D82997">
            <w:pPr>
              <w:jc w:val="center"/>
            </w:pPr>
          </w:p>
        </w:tc>
        <w:tc>
          <w:tcPr>
            <w:tcW w:w="1320" w:type="dxa"/>
            <w:vAlign w:val="center"/>
          </w:tcPr>
          <w:p w14:paraId="43454E76" w14:textId="77777777" w:rsidR="00ED2C1F" w:rsidRPr="00BA443E" w:rsidRDefault="00ED2C1F" w:rsidP="00D82997">
            <w:pPr>
              <w:jc w:val="center"/>
            </w:pPr>
          </w:p>
        </w:tc>
        <w:tc>
          <w:tcPr>
            <w:tcW w:w="1320" w:type="dxa"/>
            <w:vAlign w:val="center"/>
          </w:tcPr>
          <w:p w14:paraId="54DFEF1D" w14:textId="77777777" w:rsidR="00ED2C1F" w:rsidRPr="00BA443E" w:rsidRDefault="00ED2C1F" w:rsidP="00D82997">
            <w:pPr>
              <w:jc w:val="center"/>
            </w:pPr>
            <w:r w:rsidRPr="00D82997">
              <w:sym w:font="Wingdings 2" w:char="F050"/>
            </w:r>
          </w:p>
        </w:tc>
        <w:tc>
          <w:tcPr>
            <w:tcW w:w="1320" w:type="dxa"/>
            <w:vAlign w:val="center"/>
          </w:tcPr>
          <w:p w14:paraId="2DE51B1B" w14:textId="77777777" w:rsidR="00ED2C1F" w:rsidRPr="00BA443E" w:rsidRDefault="00ED2C1F" w:rsidP="00D82997">
            <w:pPr>
              <w:jc w:val="center"/>
            </w:pPr>
            <w:r w:rsidRPr="00D82997">
              <w:sym w:font="Wingdings 2" w:char="F050"/>
            </w:r>
          </w:p>
        </w:tc>
        <w:tc>
          <w:tcPr>
            <w:tcW w:w="1320" w:type="dxa"/>
            <w:vAlign w:val="center"/>
          </w:tcPr>
          <w:p w14:paraId="494DA00B" w14:textId="77777777" w:rsidR="00ED2C1F" w:rsidRPr="00BA443E" w:rsidRDefault="00ED2C1F" w:rsidP="00D82997">
            <w:pPr>
              <w:jc w:val="center"/>
            </w:pPr>
          </w:p>
        </w:tc>
      </w:tr>
      <w:tr w:rsidR="00ED2C1F" w:rsidRPr="00BA443E" w14:paraId="296446C7" w14:textId="77777777">
        <w:trPr>
          <w:jc w:val="center"/>
        </w:trPr>
        <w:tc>
          <w:tcPr>
            <w:tcW w:w="6263" w:type="dxa"/>
            <w:gridSpan w:val="2"/>
            <w:vAlign w:val="center"/>
          </w:tcPr>
          <w:p w14:paraId="526C3147" w14:textId="77777777" w:rsidR="00ED2C1F" w:rsidRPr="00D82997" w:rsidRDefault="00ED2C1F" w:rsidP="00397FF3">
            <w:pPr>
              <w:rPr>
                <w:sz w:val="20"/>
                <w:szCs w:val="20"/>
              </w:rPr>
            </w:pPr>
            <w:r w:rsidRPr="00D82997">
              <w:rPr>
                <w:sz w:val="20"/>
                <w:szCs w:val="20"/>
              </w:rPr>
              <w:t>Nurturing Parenting Program</w:t>
            </w:r>
          </w:p>
        </w:tc>
        <w:tc>
          <w:tcPr>
            <w:tcW w:w="1320" w:type="dxa"/>
            <w:vAlign w:val="center"/>
          </w:tcPr>
          <w:p w14:paraId="1BAB4B16" w14:textId="77777777" w:rsidR="00ED2C1F" w:rsidRPr="00BA443E" w:rsidRDefault="00ED2C1F" w:rsidP="00D82997">
            <w:pPr>
              <w:jc w:val="center"/>
            </w:pPr>
          </w:p>
        </w:tc>
        <w:tc>
          <w:tcPr>
            <w:tcW w:w="1320" w:type="dxa"/>
            <w:vAlign w:val="center"/>
          </w:tcPr>
          <w:p w14:paraId="156C39C0" w14:textId="77777777" w:rsidR="00ED2C1F" w:rsidRPr="00BA443E" w:rsidRDefault="00ED2C1F" w:rsidP="00D82997">
            <w:pPr>
              <w:jc w:val="center"/>
            </w:pPr>
            <w:r w:rsidRPr="00D82997">
              <w:sym w:font="Wingdings 2" w:char="F050"/>
            </w:r>
          </w:p>
        </w:tc>
        <w:tc>
          <w:tcPr>
            <w:tcW w:w="1320" w:type="dxa"/>
            <w:vAlign w:val="center"/>
          </w:tcPr>
          <w:p w14:paraId="73F03B69" w14:textId="77777777" w:rsidR="00ED2C1F" w:rsidRPr="00BA443E" w:rsidRDefault="00ED2C1F" w:rsidP="00D82997">
            <w:pPr>
              <w:jc w:val="center"/>
            </w:pPr>
          </w:p>
        </w:tc>
        <w:tc>
          <w:tcPr>
            <w:tcW w:w="1320" w:type="dxa"/>
            <w:vAlign w:val="center"/>
          </w:tcPr>
          <w:p w14:paraId="622421FB" w14:textId="77777777" w:rsidR="00ED2C1F" w:rsidRPr="00BA443E" w:rsidRDefault="00ED2C1F" w:rsidP="00D82997">
            <w:pPr>
              <w:jc w:val="center"/>
            </w:pPr>
          </w:p>
        </w:tc>
        <w:tc>
          <w:tcPr>
            <w:tcW w:w="1320" w:type="dxa"/>
            <w:vAlign w:val="center"/>
          </w:tcPr>
          <w:p w14:paraId="1F387752" w14:textId="77777777" w:rsidR="00ED2C1F" w:rsidRPr="00BA443E" w:rsidRDefault="00ED2C1F" w:rsidP="00D82997">
            <w:pPr>
              <w:jc w:val="center"/>
            </w:pPr>
            <w:r w:rsidRPr="00D82997">
              <w:sym w:font="Wingdings 2" w:char="F050"/>
            </w:r>
          </w:p>
        </w:tc>
        <w:tc>
          <w:tcPr>
            <w:tcW w:w="1320" w:type="dxa"/>
            <w:vAlign w:val="center"/>
          </w:tcPr>
          <w:p w14:paraId="54465629" w14:textId="77777777" w:rsidR="00ED2C1F" w:rsidRPr="00BA443E" w:rsidRDefault="00ED2C1F" w:rsidP="00D82997">
            <w:pPr>
              <w:jc w:val="center"/>
            </w:pPr>
          </w:p>
        </w:tc>
      </w:tr>
      <w:tr w:rsidR="00ED2C1F" w:rsidRPr="00BA443E" w14:paraId="2B4FDFB8" w14:textId="77777777">
        <w:trPr>
          <w:jc w:val="center"/>
        </w:trPr>
        <w:tc>
          <w:tcPr>
            <w:tcW w:w="6263" w:type="dxa"/>
            <w:gridSpan w:val="2"/>
            <w:vAlign w:val="center"/>
          </w:tcPr>
          <w:p w14:paraId="06FBF8A5" w14:textId="77777777" w:rsidR="00ED2C1F" w:rsidRPr="00D82997" w:rsidRDefault="00ED2C1F" w:rsidP="00397FF3">
            <w:pPr>
              <w:rPr>
                <w:sz w:val="20"/>
                <w:szCs w:val="20"/>
              </w:rPr>
            </w:pPr>
            <w:r w:rsidRPr="00D82997">
              <w:rPr>
                <w:sz w:val="20"/>
                <w:szCs w:val="20"/>
              </w:rPr>
              <w:t>Active Parenting for Teens</w:t>
            </w:r>
          </w:p>
        </w:tc>
        <w:tc>
          <w:tcPr>
            <w:tcW w:w="1320" w:type="dxa"/>
            <w:vAlign w:val="center"/>
          </w:tcPr>
          <w:p w14:paraId="0B7E75D6" w14:textId="77777777" w:rsidR="00ED2C1F" w:rsidRPr="00BA443E" w:rsidRDefault="00ED2C1F" w:rsidP="00D82997">
            <w:pPr>
              <w:jc w:val="center"/>
            </w:pPr>
          </w:p>
        </w:tc>
        <w:tc>
          <w:tcPr>
            <w:tcW w:w="1320" w:type="dxa"/>
            <w:vAlign w:val="center"/>
          </w:tcPr>
          <w:p w14:paraId="0D7B4672" w14:textId="77777777" w:rsidR="00ED2C1F" w:rsidRPr="00BA443E" w:rsidRDefault="00ED2C1F" w:rsidP="00D82997">
            <w:pPr>
              <w:jc w:val="center"/>
            </w:pPr>
          </w:p>
        </w:tc>
        <w:tc>
          <w:tcPr>
            <w:tcW w:w="1320" w:type="dxa"/>
            <w:vAlign w:val="center"/>
          </w:tcPr>
          <w:p w14:paraId="4D4A43A1" w14:textId="77777777" w:rsidR="00ED2C1F" w:rsidRPr="00BA443E" w:rsidRDefault="00ED2C1F" w:rsidP="00D82997">
            <w:pPr>
              <w:jc w:val="center"/>
            </w:pPr>
          </w:p>
        </w:tc>
        <w:tc>
          <w:tcPr>
            <w:tcW w:w="1320" w:type="dxa"/>
            <w:vAlign w:val="center"/>
          </w:tcPr>
          <w:p w14:paraId="35114484" w14:textId="77777777" w:rsidR="00ED2C1F" w:rsidRPr="00BA443E" w:rsidRDefault="00ED2C1F" w:rsidP="00D82997">
            <w:pPr>
              <w:jc w:val="center"/>
            </w:pPr>
          </w:p>
        </w:tc>
        <w:tc>
          <w:tcPr>
            <w:tcW w:w="1320" w:type="dxa"/>
            <w:vAlign w:val="center"/>
          </w:tcPr>
          <w:p w14:paraId="727E4B4D" w14:textId="77777777" w:rsidR="00ED2C1F" w:rsidRPr="00BA443E" w:rsidRDefault="00ED2C1F" w:rsidP="00D82997">
            <w:pPr>
              <w:jc w:val="center"/>
            </w:pPr>
            <w:r w:rsidRPr="00D82997">
              <w:sym w:font="Wingdings 2" w:char="F050"/>
            </w:r>
          </w:p>
        </w:tc>
        <w:tc>
          <w:tcPr>
            <w:tcW w:w="1320" w:type="dxa"/>
            <w:vAlign w:val="center"/>
          </w:tcPr>
          <w:p w14:paraId="721BB085" w14:textId="77777777" w:rsidR="00ED2C1F" w:rsidRPr="00BA443E" w:rsidRDefault="00ED2C1F" w:rsidP="00D82997">
            <w:pPr>
              <w:jc w:val="center"/>
            </w:pPr>
          </w:p>
        </w:tc>
      </w:tr>
      <w:tr w:rsidR="00ED2C1F" w:rsidRPr="00BA443E" w14:paraId="5720F7C2" w14:textId="77777777">
        <w:trPr>
          <w:jc w:val="center"/>
        </w:trPr>
        <w:tc>
          <w:tcPr>
            <w:tcW w:w="6263" w:type="dxa"/>
            <w:gridSpan w:val="2"/>
            <w:vAlign w:val="center"/>
          </w:tcPr>
          <w:p w14:paraId="324663FF" w14:textId="77777777" w:rsidR="00ED2C1F" w:rsidRPr="00D82997" w:rsidRDefault="00ED2C1F" w:rsidP="00397FF3">
            <w:pPr>
              <w:rPr>
                <w:sz w:val="20"/>
                <w:szCs w:val="20"/>
              </w:rPr>
            </w:pPr>
            <w:r w:rsidRPr="00D82997">
              <w:rPr>
                <w:sz w:val="20"/>
                <w:szCs w:val="20"/>
              </w:rPr>
              <w:t>Parenting Wisely</w:t>
            </w:r>
          </w:p>
        </w:tc>
        <w:tc>
          <w:tcPr>
            <w:tcW w:w="1320" w:type="dxa"/>
            <w:vAlign w:val="center"/>
          </w:tcPr>
          <w:p w14:paraId="5176F26C" w14:textId="77777777" w:rsidR="00ED2C1F" w:rsidRPr="00BA443E" w:rsidRDefault="00ED2C1F" w:rsidP="00D82997">
            <w:pPr>
              <w:jc w:val="center"/>
            </w:pPr>
          </w:p>
        </w:tc>
        <w:tc>
          <w:tcPr>
            <w:tcW w:w="1320" w:type="dxa"/>
            <w:vAlign w:val="center"/>
          </w:tcPr>
          <w:p w14:paraId="5B3EE955" w14:textId="77777777" w:rsidR="00ED2C1F" w:rsidRPr="00BA443E" w:rsidRDefault="00ED2C1F" w:rsidP="00D82997">
            <w:pPr>
              <w:jc w:val="center"/>
            </w:pPr>
          </w:p>
        </w:tc>
        <w:tc>
          <w:tcPr>
            <w:tcW w:w="1320" w:type="dxa"/>
            <w:vAlign w:val="center"/>
          </w:tcPr>
          <w:p w14:paraId="178A4264" w14:textId="77777777" w:rsidR="00ED2C1F" w:rsidRPr="00BA443E" w:rsidRDefault="00ED2C1F" w:rsidP="00D82997">
            <w:pPr>
              <w:jc w:val="center"/>
            </w:pPr>
          </w:p>
        </w:tc>
        <w:tc>
          <w:tcPr>
            <w:tcW w:w="1320" w:type="dxa"/>
            <w:vAlign w:val="center"/>
          </w:tcPr>
          <w:p w14:paraId="2E21A802" w14:textId="77777777" w:rsidR="00ED2C1F" w:rsidRPr="00BA443E" w:rsidRDefault="00ED2C1F" w:rsidP="00D82997">
            <w:pPr>
              <w:jc w:val="center"/>
            </w:pPr>
          </w:p>
        </w:tc>
        <w:tc>
          <w:tcPr>
            <w:tcW w:w="1320" w:type="dxa"/>
            <w:vAlign w:val="center"/>
          </w:tcPr>
          <w:p w14:paraId="5C37189C" w14:textId="77777777" w:rsidR="00ED2C1F" w:rsidRPr="00BA443E" w:rsidRDefault="00ED2C1F" w:rsidP="00D82997">
            <w:pPr>
              <w:jc w:val="center"/>
            </w:pPr>
            <w:r w:rsidRPr="00D82997">
              <w:sym w:font="Wingdings 2" w:char="F050"/>
            </w:r>
          </w:p>
        </w:tc>
        <w:tc>
          <w:tcPr>
            <w:tcW w:w="1320" w:type="dxa"/>
            <w:vAlign w:val="center"/>
          </w:tcPr>
          <w:p w14:paraId="48B8083D" w14:textId="77777777" w:rsidR="00ED2C1F" w:rsidRPr="00BA443E" w:rsidRDefault="00ED2C1F" w:rsidP="00D82997">
            <w:pPr>
              <w:jc w:val="center"/>
            </w:pPr>
          </w:p>
        </w:tc>
      </w:tr>
      <w:tr w:rsidR="00ED2C1F" w:rsidRPr="00BA443E" w14:paraId="7FCC2882" w14:textId="77777777">
        <w:trPr>
          <w:jc w:val="center"/>
        </w:trPr>
        <w:tc>
          <w:tcPr>
            <w:tcW w:w="6263" w:type="dxa"/>
            <w:gridSpan w:val="2"/>
            <w:vAlign w:val="center"/>
          </w:tcPr>
          <w:p w14:paraId="26CDA106" w14:textId="77777777" w:rsidR="00ED2C1F" w:rsidRPr="00D82997" w:rsidRDefault="00ED2C1F" w:rsidP="00397FF3">
            <w:pPr>
              <w:rPr>
                <w:sz w:val="20"/>
                <w:szCs w:val="20"/>
              </w:rPr>
            </w:pPr>
            <w:r w:rsidRPr="00D82997">
              <w:rPr>
                <w:sz w:val="20"/>
                <w:szCs w:val="20"/>
              </w:rPr>
              <w:t>Sticker Shock</w:t>
            </w:r>
          </w:p>
        </w:tc>
        <w:tc>
          <w:tcPr>
            <w:tcW w:w="1320" w:type="dxa"/>
            <w:vAlign w:val="center"/>
          </w:tcPr>
          <w:p w14:paraId="39A72AF6" w14:textId="77777777" w:rsidR="00ED2C1F" w:rsidRPr="00BA443E" w:rsidRDefault="00ED2C1F" w:rsidP="00D82997">
            <w:pPr>
              <w:jc w:val="center"/>
            </w:pPr>
            <w:r w:rsidRPr="00D82997">
              <w:sym w:font="Wingdings 2" w:char="F050"/>
            </w:r>
          </w:p>
        </w:tc>
        <w:tc>
          <w:tcPr>
            <w:tcW w:w="1320" w:type="dxa"/>
            <w:vAlign w:val="center"/>
          </w:tcPr>
          <w:p w14:paraId="5D27F9A8" w14:textId="77777777" w:rsidR="00ED2C1F" w:rsidRPr="00BA443E" w:rsidRDefault="00ED2C1F" w:rsidP="00D82997">
            <w:pPr>
              <w:jc w:val="center"/>
            </w:pPr>
          </w:p>
        </w:tc>
        <w:tc>
          <w:tcPr>
            <w:tcW w:w="1320" w:type="dxa"/>
            <w:vAlign w:val="center"/>
          </w:tcPr>
          <w:p w14:paraId="61A17726" w14:textId="77777777" w:rsidR="00ED2C1F" w:rsidRPr="00BA443E" w:rsidRDefault="00ED2C1F" w:rsidP="00D82997">
            <w:pPr>
              <w:jc w:val="center"/>
            </w:pPr>
            <w:r w:rsidRPr="00D82997">
              <w:sym w:font="Wingdings 2" w:char="F050"/>
            </w:r>
          </w:p>
        </w:tc>
        <w:tc>
          <w:tcPr>
            <w:tcW w:w="1320" w:type="dxa"/>
            <w:vAlign w:val="center"/>
          </w:tcPr>
          <w:p w14:paraId="0A64D3D6" w14:textId="77777777" w:rsidR="00ED2C1F" w:rsidRPr="00BA443E" w:rsidRDefault="00ED2C1F" w:rsidP="00D82997">
            <w:pPr>
              <w:jc w:val="center"/>
            </w:pPr>
          </w:p>
        </w:tc>
        <w:tc>
          <w:tcPr>
            <w:tcW w:w="1320" w:type="dxa"/>
            <w:vAlign w:val="center"/>
          </w:tcPr>
          <w:p w14:paraId="591F62DA" w14:textId="77777777" w:rsidR="00ED2C1F" w:rsidRPr="00BA443E" w:rsidRDefault="00ED2C1F" w:rsidP="00D82997">
            <w:pPr>
              <w:jc w:val="center"/>
            </w:pPr>
            <w:r w:rsidRPr="00D82997">
              <w:sym w:font="Wingdings 2" w:char="F050"/>
            </w:r>
          </w:p>
        </w:tc>
        <w:tc>
          <w:tcPr>
            <w:tcW w:w="1320" w:type="dxa"/>
            <w:vAlign w:val="center"/>
          </w:tcPr>
          <w:p w14:paraId="2420222F" w14:textId="77777777" w:rsidR="00ED2C1F" w:rsidRPr="00BA443E" w:rsidRDefault="00ED2C1F" w:rsidP="00D82997">
            <w:pPr>
              <w:jc w:val="center"/>
            </w:pPr>
            <w:r w:rsidRPr="00D82997">
              <w:sym w:font="Wingdings 2" w:char="F050"/>
            </w:r>
          </w:p>
        </w:tc>
      </w:tr>
    </w:tbl>
    <w:p w14:paraId="563AEF59" w14:textId="398CE010" w:rsidR="00ED2C1F" w:rsidRPr="003D34D6" w:rsidRDefault="00D274E1" w:rsidP="00D274E1">
      <w:pPr>
        <w:spacing w:before="80"/>
        <w:rPr>
          <w:rFonts w:ascii="Arial" w:hAnsi="Arial" w:cs="Arial"/>
          <w:bCs/>
          <w:sz w:val="20"/>
          <w:szCs w:val="20"/>
        </w:rPr>
      </w:pPr>
      <w:r>
        <w:rPr>
          <w:rFonts w:ascii="Arial" w:hAnsi="Arial" w:cs="Arial"/>
          <w:bCs/>
          <w:sz w:val="20"/>
          <w:szCs w:val="20"/>
        </w:rPr>
        <w:t>Note: a plus sign (+) next to the checkmark for policy approaches indicates that a policy was enacted.</w:t>
      </w:r>
    </w:p>
    <w:p w14:paraId="2DFD075E" w14:textId="77777777" w:rsidR="00ED2C1F" w:rsidRDefault="00ED2C1F"/>
    <w:sectPr w:rsidR="00ED2C1F" w:rsidSect="001C28C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2B231" w14:textId="77777777" w:rsidR="00D8753B" w:rsidRDefault="00D8753B" w:rsidP="00747899">
      <w:r>
        <w:separator/>
      </w:r>
    </w:p>
  </w:endnote>
  <w:endnote w:type="continuationSeparator" w:id="0">
    <w:p w14:paraId="2ED81C9A" w14:textId="77777777" w:rsidR="00D8753B" w:rsidRDefault="00D8753B" w:rsidP="0074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5E68B" w14:textId="77777777" w:rsidR="00D8753B" w:rsidRDefault="00D8753B" w:rsidP="001E7FA8">
    <w:pPr>
      <w:pStyle w:val="Footer"/>
      <w:jc w:val="center"/>
    </w:pPr>
  </w:p>
  <w:p w14:paraId="6BCA2076" w14:textId="77777777" w:rsidR="00D8753B" w:rsidRDefault="00D87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49BF7" w14:textId="77777777" w:rsidR="00D8753B" w:rsidRDefault="00D8753B" w:rsidP="00D27497">
    <w:pPr>
      <w:pStyle w:val="Footer"/>
      <w:jc w:val="center"/>
    </w:pPr>
    <w:r>
      <w:fldChar w:fldCharType="begin"/>
    </w:r>
    <w:r>
      <w:instrText xml:space="preserve"> PAGE   \* MERGEFORMAT </w:instrText>
    </w:r>
    <w:r>
      <w:fldChar w:fldCharType="separate"/>
    </w:r>
    <w:r w:rsidR="00835FA5">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5967B" w14:textId="77777777" w:rsidR="00D8753B" w:rsidRDefault="00D8753B" w:rsidP="00747899">
      <w:r>
        <w:separator/>
      </w:r>
    </w:p>
  </w:footnote>
  <w:footnote w:type="continuationSeparator" w:id="0">
    <w:p w14:paraId="0D728DC7" w14:textId="77777777" w:rsidR="00D8753B" w:rsidRDefault="00D8753B" w:rsidP="00747899">
      <w:r>
        <w:continuationSeparator/>
      </w:r>
    </w:p>
  </w:footnote>
  <w:footnote w:id="1">
    <w:p w14:paraId="52A0FB05" w14:textId="15B8905C" w:rsidR="00D8753B" w:rsidRDefault="00D8753B" w:rsidP="00934640">
      <w:pPr>
        <w:pStyle w:val="FootnoteText"/>
        <w:spacing w:line="180" w:lineRule="exact"/>
        <w:ind w:left="144" w:hanging="144"/>
      </w:pPr>
      <w:r>
        <w:rPr>
          <w:rStyle w:val="FootnoteReference"/>
        </w:rPr>
        <w:footnoteRef/>
      </w:r>
      <w:r>
        <w:t xml:space="preserve"> More information regarding the Vermont YRBS may be found at </w:t>
      </w:r>
      <w:hyperlink r:id="rId1" w:history="1">
        <w:r w:rsidRPr="007B2AE8">
          <w:rPr>
            <w:rStyle w:val="Hyperlink"/>
          </w:rPr>
          <w:t>http://healthvermont.gov</w:t>
        </w:r>
        <w:r w:rsidRPr="007B2AE8">
          <w:rPr>
            <w:rStyle w:val="Hyperlink"/>
          </w:rPr>
          <w:t>/</w:t>
        </w:r>
        <w:r w:rsidRPr="007B2AE8">
          <w:rPr>
            <w:rStyle w:val="Hyperlink"/>
          </w:rPr>
          <w:t>health-statistics-vital-records/population-health-surveys-data/youth-risk-behavior-survey-yrbs</w:t>
        </w:r>
      </w:hyperlink>
      <w:r>
        <w:t xml:space="preserve">.  Information regarding the YAS is provided in the 2014 YAS Statewide Summary Report, available at   </w:t>
      </w:r>
      <w:hyperlink r:id="rId2" w:history="1">
        <w:r w:rsidRPr="00464CFA">
          <w:rPr>
            <w:rStyle w:val="Hyperlink"/>
          </w:rPr>
          <w:t>http://www.pire.org/documents/Vermont_PFS_Eval/VT_PFS_YAS20</w:t>
        </w:r>
        <w:r w:rsidRPr="00464CFA">
          <w:rPr>
            <w:rStyle w:val="Hyperlink"/>
          </w:rPr>
          <w:t>1</w:t>
        </w:r>
        <w:r w:rsidRPr="00464CFA">
          <w:rPr>
            <w:rStyle w:val="Hyperlink"/>
          </w:rPr>
          <w:t>4_Summary_Report.pdf</w:t>
        </w:r>
      </w:hyperlink>
      <w:r>
        <w:t>.</w:t>
      </w:r>
    </w:p>
  </w:footnote>
  <w:footnote w:id="2">
    <w:p w14:paraId="01AD4C25" w14:textId="77777777" w:rsidR="00D8753B" w:rsidRDefault="00D8753B">
      <w:pPr>
        <w:pStyle w:val="FootnoteText"/>
      </w:pPr>
      <w:r w:rsidRPr="004C0872">
        <w:rPr>
          <w:rStyle w:val="FootnoteReference"/>
          <w:rFonts w:ascii="Arial" w:hAnsi="Arial" w:cs="Arial"/>
          <w:sz w:val="18"/>
          <w:szCs w:val="18"/>
        </w:rPr>
        <w:footnoteRef/>
      </w:r>
      <w:r>
        <w:t xml:space="preserve"> </w:t>
      </w:r>
      <w:r w:rsidRPr="00747899">
        <w:rPr>
          <w:rFonts w:ascii="Arial" w:hAnsi="Arial" w:cs="Arial"/>
          <w:color w:val="000000"/>
          <w:sz w:val="18"/>
          <w:szCs w:val="18"/>
        </w:rPr>
        <w:t>SAS SURVEYLOGISTIC</w:t>
      </w:r>
    </w:p>
  </w:footnote>
  <w:footnote w:id="3">
    <w:p w14:paraId="1BFA9D81" w14:textId="4DF6BB6A" w:rsidR="00D8753B" w:rsidRPr="00A04633" w:rsidRDefault="00D8753B" w:rsidP="00A04633">
      <w:pPr>
        <w:pStyle w:val="FootnoteText"/>
        <w:ind w:left="144" w:hanging="144"/>
        <w:rPr>
          <w:rFonts w:ascii="Arial" w:hAnsi="Arial" w:cs="Arial"/>
          <w:sz w:val="18"/>
          <w:szCs w:val="18"/>
        </w:rPr>
      </w:pPr>
      <w:r w:rsidRPr="00A04633">
        <w:rPr>
          <w:rStyle w:val="FootnoteReference"/>
          <w:rFonts w:ascii="Arial" w:hAnsi="Arial" w:cs="Arial"/>
          <w:sz w:val="18"/>
          <w:szCs w:val="18"/>
        </w:rPr>
        <w:footnoteRef/>
      </w:r>
      <w:r w:rsidRPr="00A04633">
        <w:rPr>
          <w:rFonts w:ascii="Arial" w:hAnsi="Arial" w:cs="Arial"/>
          <w:sz w:val="18"/>
          <w:szCs w:val="18"/>
        </w:rPr>
        <w:t xml:space="preserve"> Percent change values were calculated as the difference between 2013 and 2015 prevalence rates, expressed as a</w:t>
      </w:r>
      <w:r>
        <w:rPr>
          <w:rFonts w:ascii="Arial" w:hAnsi="Arial" w:cs="Arial"/>
          <w:sz w:val="18"/>
          <w:szCs w:val="18"/>
        </w:rPr>
        <w:t xml:space="preserve"> </w:t>
      </w:r>
      <w:r w:rsidRPr="00A04633">
        <w:rPr>
          <w:rFonts w:ascii="Arial" w:hAnsi="Arial" w:cs="Arial"/>
          <w:sz w:val="18"/>
          <w:szCs w:val="18"/>
        </w:rPr>
        <w:t xml:space="preserve">  percent of the baseline (i.e., 2013) rate.  </w:t>
      </w:r>
    </w:p>
  </w:footnote>
  <w:footnote w:id="4">
    <w:p w14:paraId="50D985B1" w14:textId="003E83DB" w:rsidR="00D8753B" w:rsidRPr="00A04633" w:rsidRDefault="00D8753B" w:rsidP="00A04633">
      <w:pPr>
        <w:pStyle w:val="FootnoteText"/>
        <w:ind w:left="144" w:hanging="144"/>
        <w:rPr>
          <w:rFonts w:ascii="Arial" w:hAnsi="Arial" w:cs="Arial"/>
          <w:sz w:val="18"/>
          <w:szCs w:val="18"/>
        </w:rPr>
      </w:pPr>
      <w:r w:rsidRPr="00A04633">
        <w:rPr>
          <w:rStyle w:val="FootnoteReference"/>
          <w:rFonts w:ascii="Arial" w:hAnsi="Arial" w:cs="Arial"/>
          <w:sz w:val="18"/>
          <w:szCs w:val="18"/>
        </w:rPr>
        <w:footnoteRef/>
      </w:r>
      <w:r w:rsidRPr="00A04633">
        <w:rPr>
          <w:rFonts w:ascii="Arial" w:hAnsi="Arial" w:cs="Arial"/>
          <w:sz w:val="18"/>
          <w:szCs w:val="18"/>
        </w:rPr>
        <w:t xml:space="preserve"> </w:t>
      </w:r>
      <w:r>
        <w:rPr>
          <w:rFonts w:ascii="Arial" w:hAnsi="Arial" w:cs="Arial"/>
          <w:sz w:val="18"/>
          <w:szCs w:val="18"/>
        </w:rPr>
        <w:t>T</w:t>
      </w:r>
      <w:r w:rsidRPr="00A04633">
        <w:rPr>
          <w:rFonts w:ascii="Arial" w:hAnsi="Arial" w:cs="Arial"/>
          <w:sz w:val="18"/>
          <w:szCs w:val="18"/>
        </w:rPr>
        <w:t>he</w:t>
      </w:r>
      <w:r>
        <w:rPr>
          <w:rFonts w:ascii="Arial" w:hAnsi="Arial" w:cs="Arial"/>
          <w:sz w:val="18"/>
          <w:szCs w:val="18"/>
        </w:rPr>
        <w:t>se</w:t>
      </w:r>
      <w:r w:rsidRPr="00A04633">
        <w:rPr>
          <w:rFonts w:ascii="Arial" w:hAnsi="Arial" w:cs="Arial"/>
          <w:sz w:val="18"/>
          <w:szCs w:val="18"/>
        </w:rPr>
        <w:t xml:space="preserve"> comparisons</w:t>
      </w:r>
      <w:r>
        <w:rPr>
          <w:rFonts w:ascii="Arial" w:hAnsi="Arial" w:cs="Arial"/>
          <w:sz w:val="18"/>
          <w:szCs w:val="18"/>
        </w:rPr>
        <w:t>, however,</w:t>
      </w:r>
      <w:r w:rsidRPr="00A04633">
        <w:rPr>
          <w:rFonts w:ascii="Arial" w:hAnsi="Arial" w:cs="Arial"/>
          <w:sz w:val="18"/>
          <w:szCs w:val="18"/>
        </w:rPr>
        <w:t xml:space="preserve"> were made on prevalence rates derived directly from the weighted data files, rather than rates that had been statistically adjusted for demographic differences.  </w:t>
      </w:r>
    </w:p>
  </w:footnote>
  <w:footnote w:id="5">
    <w:p w14:paraId="5B389EA2" w14:textId="247FF2DE" w:rsidR="00D8753B" w:rsidRPr="0098490E" w:rsidRDefault="00D8753B" w:rsidP="00A04633">
      <w:pPr>
        <w:pStyle w:val="FootnoteText"/>
        <w:ind w:left="144" w:hanging="144"/>
        <w:rPr>
          <w:rFonts w:ascii="Arial" w:hAnsi="Arial" w:cs="Arial"/>
          <w:sz w:val="18"/>
          <w:szCs w:val="18"/>
        </w:rPr>
      </w:pPr>
      <w:r w:rsidRPr="00A04633">
        <w:rPr>
          <w:rStyle w:val="FootnoteReference"/>
          <w:rFonts w:ascii="Arial" w:hAnsi="Arial" w:cs="Arial"/>
          <w:sz w:val="18"/>
          <w:szCs w:val="18"/>
        </w:rPr>
        <w:footnoteRef/>
      </w:r>
      <w:r w:rsidRPr="00A04633">
        <w:rPr>
          <w:rFonts w:ascii="Arial" w:hAnsi="Arial" w:cs="Arial"/>
          <w:sz w:val="18"/>
          <w:szCs w:val="18"/>
        </w:rPr>
        <w:t xml:space="preserve"> Note that even small percentage point differences may yield relatively large percent change values.  This is</w:t>
      </w:r>
      <w:r>
        <w:rPr>
          <w:rFonts w:ascii="Arial" w:hAnsi="Arial" w:cs="Arial"/>
          <w:sz w:val="18"/>
          <w:szCs w:val="18"/>
        </w:rPr>
        <w:t xml:space="preserve"> </w:t>
      </w:r>
      <w:r w:rsidRPr="00A04633">
        <w:rPr>
          <w:rFonts w:ascii="Arial" w:hAnsi="Arial" w:cs="Arial"/>
          <w:sz w:val="18"/>
          <w:szCs w:val="18"/>
        </w:rPr>
        <w:t xml:space="preserve">   especially true for measures that have relatively small prevalence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A226" w14:textId="77777777" w:rsidR="00D8753B" w:rsidRDefault="00D87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E2E"/>
    <w:multiLevelType w:val="hybridMultilevel"/>
    <w:tmpl w:val="71A89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3C2EF0"/>
    <w:multiLevelType w:val="hybridMultilevel"/>
    <w:tmpl w:val="930A7ABC"/>
    <w:lvl w:ilvl="0" w:tplc="99502E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6B5432B"/>
    <w:multiLevelType w:val="hybridMultilevel"/>
    <w:tmpl w:val="0BA2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47205BB0"/>
    <w:multiLevelType w:val="hybridMultilevel"/>
    <w:tmpl w:val="4CEC639A"/>
    <w:lvl w:ilvl="0" w:tplc="7ED0768E">
      <w:start w:val="1"/>
      <w:numFmt w:val="upperLetter"/>
      <w:pStyle w:val="H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AFB2095"/>
    <w:multiLevelType w:val="hybridMultilevel"/>
    <w:tmpl w:val="5F92C9EE"/>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F3D68CF"/>
    <w:multiLevelType w:val="hybridMultilevel"/>
    <w:tmpl w:val="5136E3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453AC"/>
    <w:multiLevelType w:val="hybridMultilevel"/>
    <w:tmpl w:val="50BE0E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42"/>
    <w:rsid w:val="00022F6F"/>
    <w:rsid w:val="00034AAF"/>
    <w:rsid w:val="000521BD"/>
    <w:rsid w:val="000854EA"/>
    <w:rsid w:val="00090441"/>
    <w:rsid w:val="00091FA3"/>
    <w:rsid w:val="000C59EC"/>
    <w:rsid w:val="000C5DA0"/>
    <w:rsid w:val="000C64CB"/>
    <w:rsid w:val="000D49E4"/>
    <w:rsid w:val="000F7C82"/>
    <w:rsid w:val="0010448A"/>
    <w:rsid w:val="00113ED7"/>
    <w:rsid w:val="00136633"/>
    <w:rsid w:val="00150B4D"/>
    <w:rsid w:val="00152C4A"/>
    <w:rsid w:val="00191788"/>
    <w:rsid w:val="001A1337"/>
    <w:rsid w:val="001A4309"/>
    <w:rsid w:val="001B45A7"/>
    <w:rsid w:val="001C28C7"/>
    <w:rsid w:val="001C33A8"/>
    <w:rsid w:val="001C581B"/>
    <w:rsid w:val="001C6AAA"/>
    <w:rsid w:val="001D0062"/>
    <w:rsid w:val="001E4A1F"/>
    <w:rsid w:val="001E5FEC"/>
    <w:rsid w:val="001E7FA8"/>
    <w:rsid w:val="001F1322"/>
    <w:rsid w:val="001F1BF1"/>
    <w:rsid w:val="00221059"/>
    <w:rsid w:val="00225E80"/>
    <w:rsid w:val="00251172"/>
    <w:rsid w:val="0025391E"/>
    <w:rsid w:val="00296DFC"/>
    <w:rsid w:val="00297617"/>
    <w:rsid w:val="002A1404"/>
    <w:rsid w:val="002A180D"/>
    <w:rsid w:val="002B02CD"/>
    <w:rsid w:val="002B2597"/>
    <w:rsid w:val="002F1B17"/>
    <w:rsid w:val="002F5E02"/>
    <w:rsid w:val="002F6C42"/>
    <w:rsid w:val="00306D0A"/>
    <w:rsid w:val="00316C48"/>
    <w:rsid w:val="00336D41"/>
    <w:rsid w:val="00347E72"/>
    <w:rsid w:val="00357681"/>
    <w:rsid w:val="00367E0F"/>
    <w:rsid w:val="00373899"/>
    <w:rsid w:val="0038706D"/>
    <w:rsid w:val="00397FF3"/>
    <w:rsid w:val="003A7B09"/>
    <w:rsid w:val="003C71FB"/>
    <w:rsid w:val="003D03CD"/>
    <w:rsid w:val="003D34D6"/>
    <w:rsid w:val="003D7FEF"/>
    <w:rsid w:val="003E51AD"/>
    <w:rsid w:val="00400D36"/>
    <w:rsid w:val="0042242C"/>
    <w:rsid w:val="00423478"/>
    <w:rsid w:val="00464CFA"/>
    <w:rsid w:val="0046781F"/>
    <w:rsid w:val="004720AF"/>
    <w:rsid w:val="00472E37"/>
    <w:rsid w:val="004A5CED"/>
    <w:rsid w:val="004C0872"/>
    <w:rsid w:val="004D2A14"/>
    <w:rsid w:val="004E14E6"/>
    <w:rsid w:val="004F0B95"/>
    <w:rsid w:val="005050BF"/>
    <w:rsid w:val="00521A92"/>
    <w:rsid w:val="005405BF"/>
    <w:rsid w:val="00541286"/>
    <w:rsid w:val="00556F9B"/>
    <w:rsid w:val="00557B8D"/>
    <w:rsid w:val="00582FB5"/>
    <w:rsid w:val="005853C0"/>
    <w:rsid w:val="005A3FB6"/>
    <w:rsid w:val="005A5B43"/>
    <w:rsid w:val="005F2487"/>
    <w:rsid w:val="005F7CA6"/>
    <w:rsid w:val="00605CC4"/>
    <w:rsid w:val="00620E56"/>
    <w:rsid w:val="00643C9E"/>
    <w:rsid w:val="00645462"/>
    <w:rsid w:val="0066036D"/>
    <w:rsid w:val="00664C06"/>
    <w:rsid w:val="00676F9F"/>
    <w:rsid w:val="006878FB"/>
    <w:rsid w:val="006A3AD6"/>
    <w:rsid w:val="006C7575"/>
    <w:rsid w:val="006D482B"/>
    <w:rsid w:val="006E3AFD"/>
    <w:rsid w:val="006F2B32"/>
    <w:rsid w:val="00723082"/>
    <w:rsid w:val="007336C3"/>
    <w:rsid w:val="00737700"/>
    <w:rsid w:val="00747899"/>
    <w:rsid w:val="0075261B"/>
    <w:rsid w:val="00764553"/>
    <w:rsid w:val="00771FC0"/>
    <w:rsid w:val="007833FC"/>
    <w:rsid w:val="007867AC"/>
    <w:rsid w:val="0079468D"/>
    <w:rsid w:val="0079472C"/>
    <w:rsid w:val="00796FFF"/>
    <w:rsid w:val="007D5976"/>
    <w:rsid w:val="007F1F88"/>
    <w:rsid w:val="007F5001"/>
    <w:rsid w:val="0080559C"/>
    <w:rsid w:val="00812CC8"/>
    <w:rsid w:val="00835063"/>
    <w:rsid w:val="00835FA5"/>
    <w:rsid w:val="008539B0"/>
    <w:rsid w:val="008626A7"/>
    <w:rsid w:val="00863C01"/>
    <w:rsid w:val="00880600"/>
    <w:rsid w:val="008916C8"/>
    <w:rsid w:val="008965BF"/>
    <w:rsid w:val="008A4EC5"/>
    <w:rsid w:val="008B202F"/>
    <w:rsid w:val="008B3F89"/>
    <w:rsid w:val="008B6721"/>
    <w:rsid w:val="008C55E6"/>
    <w:rsid w:val="00904D4A"/>
    <w:rsid w:val="009172E8"/>
    <w:rsid w:val="00920234"/>
    <w:rsid w:val="00927C7E"/>
    <w:rsid w:val="009318B2"/>
    <w:rsid w:val="009340DE"/>
    <w:rsid w:val="00934640"/>
    <w:rsid w:val="009405FB"/>
    <w:rsid w:val="00940C13"/>
    <w:rsid w:val="00946081"/>
    <w:rsid w:val="009478E1"/>
    <w:rsid w:val="00957799"/>
    <w:rsid w:val="00972167"/>
    <w:rsid w:val="0098490E"/>
    <w:rsid w:val="0099690E"/>
    <w:rsid w:val="009A2B57"/>
    <w:rsid w:val="009B0E70"/>
    <w:rsid w:val="009D01C9"/>
    <w:rsid w:val="009D239E"/>
    <w:rsid w:val="009F7973"/>
    <w:rsid w:val="00A04633"/>
    <w:rsid w:val="00A10A99"/>
    <w:rsid w:val="00A11F74"/>
    <w:rsid w:val="00A40E95"/>
    <w:rsid w:val="00A477CD"/>
    <w:rsid w:val="00A5673B"/>
    <w:rsid w:val="00A67D96"/>
    <w:rsid w:val="00A76324"/>
    <w:rsid w:val="00A969C5"/>
    <w:rsid w:val="00AA76D5"/>
    <w:rsid w:val="00AC7FFB"/>
    <w:rsid w:val="00AD33BF"/>
    <w:rsid w:val="00B11470"/>
    <w:rsid w:val="00B15B47"/>
    <w:rsid w:val="00B92CA8"/>
    <w:rsid w:val="00B97FBA"/>
    <w:rsid w:val="00BA443E"/>
    <w:rsid w:val="00BA696E"/>
    <w:rsid w:val="00BB1562"/>
    <w:rsid w:val="00BC141E"/>
    <w:rsid w:val="00BD5618"/>
    <w:rsid w:val="00BE178F"/>
    <w:rsid w:val="00BE605D"/>
    <w:rsid w:val="00BF1951"/>
    <w:rsid w:val="00BF42BB"/>
    <w:rsid w:val="00BF53A1"/>
    <w:rsid w:val="00BF79A6"/>
    <w:rsid w:val="00C1357B"/>
    <w:rsid w:val="00C20953"/>
    <w:rsid w:val="00C2513F"/>
    <w:rsid w:val="00C5526B"/>
    <w:rsid w:val="00C6274A"/>
    <w:rsid w:val="00C71BF4"/>
    <w:rsid w:val="00C76309"/>
    <w:rsid w:val="00C82BB4"/>
    <w:rsid w:val="00C951AF"/>
    <w:rsid w:val="00CA6FC7"/>
    <w:rsid w:val="00CB0D21"/>
    <w:rsid w:val="00CB1103"/>
    <w:rsid w:val="00CB1BD6"/>
    <w:rsid w:val="00CD0722"/>
    <w:rsid w:val="00D27497"/>
    <w:rsid w:val="00D274E1"/>
    <w:rsid w:val="00D36CCC"/>
    <w:rsid w:val="00D504C6"/>
    <w:rsid w:val="00D746B2"/>
    <w:rsid w:val="00D82997"/>
    <w:rsid w:val="00D8753B"/>
    <w:rsid w:val="00D95D0E"/>
    <w:rsid w:val="00DB2B58"/>
    <w:rsid w:val="00DB67E5"/>
    <w:rsid w:val="00DB7032"/>
    <w:rsid w:val="00DC368F"/>
    <w:rsid w:val="00DC543D"/>
    <w:rsid w:val="00DE239E"/>
    <w:rsid w:val="00E10905"/>
    <w:rsid w:val="00E11842"/>
    <w:rsid w:val="00E11B01"/>
    <w:rsid w:val="00E16832"/>
    <w:rsid w:val="00E37757"/>
    <w:rsid w:val="00E90FDB"/>
    <w:rsid w:val="00E94647"/>
    <w:rsid w:val="00EA0439"/>
    <w:rsid w:val="00EA08A9"/>
    <w:rsid w:val="00EB12B6"/>
    <w:rsid w:val="00EC08AD"/>
    <w:rsid w:val="00ED2C1F"/>
    <w:rsid w:val="00ED3BD7"/>
    <w:rsid w:val="00ED422F"/>
    <w:rsid w:val="00ED679E"/>
    <w:rsid w:val="00EE0E14"/>
    <w:rsid w:val="00EE44A6"/>
    <w:rsid w:val="00EF4607"/>
    <w:rsid w:val="00F02297"/>
    <w:rsid w:val="00F16177"/>
    <w:rsid w:val="00FA57AC"/>
    <w:rsid w:val="00FC168D"/>
    <w:rsid w:val="00FC6274"/>
    <w:rsid w:val="00FD01DD"/>
    <w:rsid w:val="00FE4036"/>
    <w:rsid w:val="00FF266D"/>
    <w:rsid w:val="00FF43E4"/>
    <w:rsid w:val="00FF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770CF284"/>
  <w15:docId w15:val="{97583060-0CBA-4B08-8AFE-0CA2CAD5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842"/>
    <w:rPr>
      <w:rFonts w:cs="Calibri"/>
    </w:rPr>
  </w:style>
  <w:style w:type="paragraph" w:styleId="Heading1">
    <w:name w:val="heading 1"/>
    <w:basedOn w:val="Normal"/>
    <w:next w:val="Normal"/>
    <w:link w:val="Heading1Char"/>
    <w:uiPriority w:val="9"/>
    <w:qFormat/>
    <w:rsid w:val="00D274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274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1842"/>
    <w:pPr>
      <w:ind w:left="720"/>
    </w:pPr>
  </w:style>
  <w:style w:type="character" w:styleId="Hyperlink">
    <w:name w:val="Hyperlink"/>
    <w:basedOn w:val="DefaultParagraphFont"/>
    <w:uiPriority w:val="99"/>
    <w:rsid w:val="00DC543D"/>
    <w:rPr>
      <w:color w:val="0563C1"/>
      <w:u w:val="single"/>
    </w:rPr>
  </w:style>
  <w:style w:type="table" w:styleId="TableGrid">
    <w:name w:val="Table Grid"/>
    <w:basedOn w:val="TableNormal"/>
    <w:uiPriority w:val="99"/>
    <w:rsid w:val="0099690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BA443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67E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B1147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11470"/>
    <w:rPr>
      <w:sz w:val="16"/>
      <w:szCs w:val="16"/>
    </w:rPr>
  </w:style>
  <w:style w:type="paragraph" w:styleId="CommentText">
    <w:name w:val="annotation text"/>
    <w:basedOn w:val="Normal"/>
    <w:link w:val="CommentTextChar"/>
    <w:uiPriority w:val="99"/>
    <w:semiHidden/>
    <w:rsid w:val="00B11470"/>
    <w:pPr>
      <w:spacing w:after="160"/>
    </w:pPr>
    <w:rPr>
      <w:sz w:val="20"/>
      <w:szCs w:val="20"/>
    </w:rPr>
  </w:style>
  <w:style w:type="character" w:customStyle="1" w:styleId="CommentTextChar">
    <w:name w:val="Comment Text Char"/>
    <w:basedOn w:val="DefaultParagraphFont"/>
    <w:link w:val="CommentText"/>
    <w:uiPriority w:val="99"/>
    <w:semiHidden/>
    <w:rsid w:val="00B11470"/>
    <w:rPr>
      <w:sz w:val="20"/>
      <w:szCs w:val="20"/>
    </w:rPr>
  </w:style>
  <w:style w:type="table" w:customStyle="1" w:styleId="TableGrid4">
    <w:name w:val="Table Grid4"/>
    <w:uiPriority w:val="99"/>
    <w:rsid w:val="00397FF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397FF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47899"/>
    <w:rPr>
      <w:sz w:val="20"/>
      <w:szCs w:val="20"/>
    </w:rPr>
  </w:style>
  <w:style w:type="character" w:customStyle="1" w:styleId="FootnoteTextChar">
    <w:name w:val="Footnote Text Char"/>
    <w:basedOn w:val="DefaultParagraphFont"/>
    <w:link w:val="FootnoteText"/>
    <w:uiPriority w:val="99"/>
    <w:semiHidden/>
    <w:rsid w:val="00747899"/>
    <w:rPr>
      <w:rFonts w:cs="Calibri"/>
      <w:sz w:val="20"/>
      <w:szCs w:val="20"/>
    </w:rPr>
  </w:style>
  <w:style w:type="character" w:styleId="FootnoteReference">
    <w:name w:val="footnote reference"/>
    <w:basedOn w:val="DefaultParagraphFont"/>
    <w:uiPriority w:val="99"/>
    <w:semiHidden/>
    <w:unhideWhenUsed/>
    <w:rsid w:val="00747899"/>
    <w:rPr>
      <w:vertAlign w:val="superscript"/>
    </w:rPr>
  </w:style>
  <w:style w:type="paragraph" w:styleId="Footer">
    <w:name w:val="footer"/>
    <w:basedOn w:val="Normal"/>
    <w:link w:val="FooterChar"/>
    <w:uiPriority w:val="99"/>
    <w:unhideWhenUsed/>
    <w:rsid w:val="000F7C82"/>
    <w:pPr>
      <w:tabs>
        <w:tab w:val="center" w:pos="4680"/>
        <w:tab w:val="right" w:pos="9360"/>
      </w:tabs>
    </w:pPr>
    <w:rPr>
      <w:rFonts w:cs="Times New Roman"/>
    </w:rPr>
  </w:style>
  <w:style w:type="character" w:customStyle="1" w:styleId="FooterChar">
    <w:name w:val="Footer Char"/>
    <w:basedOn w:val="DefaultParagraphFont"/>
    <w:link w:val="Footer"/>
    <w:uiPriority w:val="99"/>
    <w:rsid w:val="000F7C82"/>
  </w:style>
  <w:style w:type="paragraph" w:styleId="Header">
    <w:name w:val="header"/>
    <w:basedOn w:val="Normal"/>
    <w:link w:val="HeaderChar"/>
    <w:uiPriority w:val="99"/>
    <w:unhideWhenUsed/>
    <w:rsid w:val="00972167"/>
    <w:pPr>
      <w:tabs>
        <w:tab w:val="center" w:pos="4680"/>
        <w:tab w:val="right" w:pos="9360"/>
      </w:tabs>
    </w:pPr>
  </w:style>
  <w:style w:type="character" w:customStyle="1" w:styleId="HeaderChar">
    <w:name w:val="Header Char"/>
    <w:basedOn w:val="DefaultParagraphFont"/>
    <w:link w:val="Header"/>
    <w:uiPriority w:val="99"/>
    <w:rsid w:val="00972167"/>
    <w:rPr>
      <w:rFonts w:cs="Calibri"/>
    </w:rPr>
  </w:style>
  <w:style w:type="paragraph" w:styleId="BalloonText">
    <w:name w:val="Balloon Text"/>
    <w:basedOn w:val="Normal"/>
    <w:link w:val="BalloonTextChar"/>
    <w:uiPriority w:val="99"/>
    <w:semiHidden/>
    <w:unhideWhenUsed/>
    <w:rsid w:val="00723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0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706D"/>
    <w:pPr>
      <w:spacing w:after="0"/>
    </w:pPr>
    <w:rPr>
      <w:b/>
      <w:bCs/>
    </w:rPr>
  </w:style>
  <w:style w:type="character" w:customStyle="1" w:styleId="CommentSubjectChar">
    <w:name w:val="Comment Subject Char"/>
    <w:basedOn w:val="CommentTextChar"/>
    <w:link w:val="CommentSubject"/>
    <w:uiPriority w:val="99"/>
    <w:semiHidden/>
    <w:rsid w:val="0038706D"/>
    <w:rPr>
      <w:rFonts w:cs="Calibri"/>
      <w:b/>
      <w:bCs/>
      <w:sz w:val="20"/>
      <w:szCs w:val="20"/>
    </w:rPr>
  </w:style>
  <w:style w:type="paragraph" w:customStyle="1" w:styleId="H1">
    <w:name w:val="H1"/>
    <w:basedOn w:val="ListParagraph"/>
    <w:qFormat/>
    <w:rsid w:val="00F02297"/>
    <w:pPr>
      <w:numPr>
        <w:numId w:val="3"/>
      </w:numPr>
      <w:ind w:left="360"/>
    </w:pPr>
    <w:rPr>
      <w:rFonts w:ascii="Arial" w:hAnsi="Arial" w:cs="Arial"/>
      <w:b/>
      <w:bCs/>
    </w:rPr>
  </w:style>
  <w:style w:type="paragraph" w:customStyle="1" w:styleId="H2">
    <w:name w:val="H2"/>
    <w:basedOn w:val="Normal"/>
    <w:qFormat/>
    <w:rsid w:val="00F02297"/>
    <w:rPr>
      <w:rFonts w:ascii="Arial" w:hAnsi="Arial" w:cs="Arial"/>
      <w:b/>
      <w:bCs/>
    </w:rPr>
  </w:style>
  <w:style w:type="character" w:customStyle="1" w:styleId="Heading1Char">
    <w:name w:val="Heading 1 Char"/>
    <w:basedOn w:val="DefaultParagraphFont"/>
    <w:link w:val="Heading1"/>
    <w:uiPriority w:val="9"/>
    <w:rsid w:val="00D2749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27497"/>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D27497"/>
    <w:pPr>
      <w:tabs>
        <w:tab w:val="left" w:pos="440"/>
        <w:tab w:val="right" w:leader="dot" w:pos="9350"/>
      </w:tabs>
      <w:spacing w:after="100"/>
    </w:pPr>
  </w:style>
  <w:style w:type="paragraph" w:styleId="TOC2">
    <w:name w:val="toc 2"/>
    <w:basedOn w:val="Normal"/>
    <w:next w:val="Normal"/>
    <w:autoRedefine/>
    <w:uiPriority w:val="39"/>
    <w:unhideWhenUsed/>
    <w:rsid w:val="00D27497"/>
    <w:pPr>
      <w:spacing w:after="100"/>
      <w:ind w:left="446"/>
    </w:pPr>
  </w:style>
  <w:style w:type="character" w:styleId="FollowedHyperlink">
    <w:name w:val="FollowedHyperlink"/>
    <w:basedOn w:val="DefaultParagraphFont"/>
    <w:uiPriority w:val="99"/>
    <w:semiHidden/>
    <w:unhideWhenUsed/>
    <w:rsid w:val="002F5E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72075">
      <w:bodyDiv w:val="1"/>
      <w:marLeft w:val="0"/>
      <w:marRight w:val="0"/>
      <w:marTop w:val="0"/>
      <w:marBottom w:val="0"/>
      <w:divBdr>
        <w:top w:val="none" w:sz="0" w:space="0" w:color="auto"/>
        <w:left w:val="none" w:sz="0" w:space="0" w:color="auto"/>
        <w:bottom w:val="none" w:sz="0" w:space="0" w:color="auto"/>
        <w:right w:val="none" w:sz="0" w:space="0" w:color="auto"/>
      </w:divBdr>
    </w:div>
    <w:div w:id="967855962">
      <w:bodyDiv w:val="1"/>
      <w:marLeft w:val="0"/>
      <w:marRight w:val="0"/>
      <w:marTop w:val="0"/>
      <w:marBottom w:val="0"/>
      <w:divBdr>
        <w:top w:val="none" w:sz="0" w:space="0" w:color="auto"/>
        <w:left w:val="none" w:sz="0" w:space="0" w:color="auto"/>
        <w:bottom w:val="none" w:sz="0" w:space="0" w:color="auto"/>
        <w:right w:val="none" w:sz="0" w:space="0" w:color="auto"/>
      </w:divBdr>
    </w:div>
    <w:div w:id="1501848447">
      <w:marLeft w:val="0"/>
      <w:marRight w:val="0"/>
      <w:marTop w:val="0"/>
      <w:marBottom w:val="0"/>
      <w:divBdr>
        <w:top w:val="none" w:sz="0" w:space="0" w:color="auto"/>
        <w:left w:val="none" w:sz="0" w:space="0" w:color="auto"/>
        <w:bottom w:val="none" w:sz="0" w:space="0" w:color="auto"/>
        <w:right w:val="none" w:sz="0" w:space="0" w:color="auto"/>
      </w:divBdr>
    </w:div>
    <w:div w:id="1501848448">
      <w:marLeft w:val="0"/>
      <w:marRight w:val="0"/>
      <w:marTop w:val="0"/>
      <w:marBottom w:val="0"/>
      <w:divBdr>
        <w:top w:val="none" w:sz="0" w:space="0" w:color="auto"/>
        <w:left w:val="none" w:sz="0" w:space="0" w:color="auto"/>
        <w:bottom w:val="none" w:sz="0" w:space="0" w:color="auto"/>
        <w:right w:val="none" w:sz="0" w:space="0" w:color="auto"/>
      </w:divBdr>
    </w:div>
    <w:div w:id="1781994546">
      <w:bodyDiv w:val="1"/>
      <w:marLeft w:val="0"/>
      <w:marRight w:val="0"/>
      <w:marTop w:val="0"/>
      <w:marBottom w:val="0"/>
      <w:divBdr>
        <w:top w:val="none" w:sz="0" w:space="0" w:color="auto"/>
        <w:left w:val="none" w:sz="0" w:space="0" w:color="auto"/>
        <w:bottom w:val="none" w:sz="0" w:space="0" w:color="auto"/>
        <w:right w:val="none" w:sz="0" w:space="0" w:color="auto"/>
      </w:divBdr>
    </w:div>
    <w:div w:id="1877817426">
      <w:bodyDiv w:val="1"/>
      <w:marLeft w:val="0"/>
      <w:marRight w:val="0"/>
      <w:marTop w:val="0"/>
      <w:marBottom w:val="0"/>
      <w:divBdr>
        <w:top w:val="none" w:sz="0" w:space="0" w:color="auto"/>
        <w:left w:val="none" w:sz="0" w:space="0" w:color="auto"/>
        <w:bottom w:val="none" w:sz="0" w:space="0" w:color="auto"/>
        <w:right w:val="none" w:sz="0" w:space="0" w:color="auto"/>
      </w:divBdr>
    </w:div>
    <w:div w:id="2058507907">
      <w:bodyDiv w:val="1"/>
      <w:marLeft w:val="0"/>
      <w:marRight w:val="0"/>
      <w:marTop w:val="0"/>
      <w:marBottom w:val="0"/>
      <w:divBdr>
        <w:top w:val="none" w:sz="0" w:space="0" w:color="auto"/>
        <w:left w:val="none" w:sz="0" w:space="0" w:color="auto"/>
        <w:bottom w:val="none" w:sz="0" w:space="0" w:color="auto"/>
        <w:right w:val="none" w:sz="0" w:space="0" w:color="auto"/>
      </w:divBdr>
    </w:div>
    <w:div w:id="21360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vermont.gov/alcohol-drugs/reports/data-and-repor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althvermont.gov/alcohol-drugs/reports/data-and-reports" TargetMode="External"/><Relationship Id="rId4" Type="http://schemas.openxmlformats.org/officeDocument/2006/relationships/settings" Target="settings.xml"/><Relationship Id="rId9" Type="http://schemas.openxmlformats.org/officeDocument/2006/relationships/hyperlink" Target="mailto:alivingston@pire.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pire.org/documents/Vermont_PFS_Eval/VT_PFS_YAS2014_Summary_Report.pdf" TargetMode="External"/><Relationship Id="rId1" Type="http://schemas.openxmlformats.org/officeDocument/2006/relationships/hyperlink" Target="http://healthvermont.gov/health-statistics-vital-records/population-health-surveys-data/youth-risk-behavior-survey-yrb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997802906215669"/>
          <c:y val="4.8663389619650152E-2"/>
          <c:w val="0.81502180648471567"/>
          <c:h val="0.64003301670624502"/>
        </c:manualLayout>
      </c:layout>
      <c:lineChart>
        <c:grouping val="standard"/>
        <c:varyColors val="0"/>
        <c:ser>
          <c:idx val="0"/>
          <c:order val="0"/>
          <c:tx>
            <c:strRef>
              <c:f>Sheet1!$A$30</c:f>
              <c:strCache>
                <c:ptCount val="1"/>
                <c:pt idx="0">
                  <c:v>PFS-funded Regions</c:v>
                </c:pt>
              </c:strCache>
            </c:strRef>
          </c:tx>
          <c:spPr>
            <a:ln w="28575" cap="rnd">
              <a:solidFill>
                <a:schemeClr val="accent1"/>
              </a:solidFill>
              <a:round/>
            </a:ln>
            <a:effectLst/>
          </c:spPr>
          <c:marker>
            <c:symbol val="diamond"/>
            <c:size val="7"/>
            <c:spPr>
              <a:solidFill>
                <a:schemeClr val="accent1"/>
              </a:solidFill>
              <a:ln w="9525">
                <a:solidFill>
                  <a:schemeClr val="accent1"/>
                </a:solidFill>
              </a:ln>
              <a:effectLst/>
            </c:spPr>
          </c:marker>
          <c:dLbls>
            <c:dLbl>
              <c:idx val="0"/>
              <c:layout>
                <c:manualLayout>
                  <c:x val="-0.13598534558180225"/>
                  <c:y val="1.5073434107773565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0458159641809478"/>
                      <c:h val="0.13951302241066021"/>
                    </c:manualLayout>
                  </c15:layout>
                </c:ext>
              </c:extLst>
            </c:dLbl>
            <c:dLbl>
              <c:idx val="1"/>
              <c:layout>
                <c:manualLayout>
                  <c:x val="-3.888888888888889E-2"/>
                  <c:y val="7.7071290944123308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Sheet1!$B$29:$C$29</c:f>
              <c:numCache>
                <c:formatCode>General</c:formatCode>
                <c:ptCount val="2"/>
                <c:pt idx="0">
                  <c:v>2013</c:v>
                </c:pt>
                <c:pt idx="1">
                  <c:v>2015</c:v>
                </c:pt>
              </c:numCache>
            </c:numRef>
          </c:cat>
          <c:val>
            <c:numRef>
              <c:f>Sheet1!$B$30:$C$30</c:f>
              <c:numCache>
                <c:formatCode>General</c:formatCode>
                <c:ptCount val="2"/>
                <c:pt idx="0">
                  <c:v>33.85</c:v>
                </c:pt>
                <c:pt idx="1">
                  <c:v>29.32</c:v>
                </c:pt>
              </c:numCache>
            </c:numRef>
          </c:val>
          <c:smooth val="0"/>
        </c:ser>
        <c:ser>
          <c:idx val="1"/>
          <c:order val="1"/>
          <c:tx>
            <c:strRef>
              <c:f>Sheet1!$A$31</c:f>
              <c:strCache>
                <c:ptCount val="1"/>
                <c:pt idx="0">
                  <c:v>Non-funded</c:v>
                </c:pt>
              </c:strCache>
            </c:strRef>
          </c:tx>
          <c:spPr>
            <a:ln w="28575" cap="rnd">
              <a:solidFill>
                <a:srgbClr val="ED7D31">
                  <a:lumMod val="75000"/>
                </a:srgbClr>
              </a:solidFill>
              <a:prstDash val="sysDot"/>
              <a:round/>
            </a:ln>
            <a:effectLst/>
          </c:spPr>
          <c:marker>
            <c:symbol val="circle"/>
            <c:size val="6"/>
            <c:spPr>
              <a:solidFill>
                <a:schemeClr val="accent2"/>
              </a:solidFill>
              <a:ln w="9525">
                <a:solidFill>
                  <a:schemeClr val="accent2"/>
                </a:solidFill>
              </a:ln>
              <a:effectLst/>
            </c:spPr>
          </c:marker>
          <c:dLbls>
            <c:dLbl>
              <c:idx val="0"/>
              <c:layout>
                <c:manualLayout>
                  <c:x val="-9.4444444444444497E-2"/>
                  <c:y val="6.26204238921001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666666666666666E-2"/>
                  <c:y val="-5.2986512524084824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Sheet1!$B$29:$C$29</c:f>
              <c:numCache>
                <c:formatCode>General</c:formatCode>
                <c:ptCount val="2"/>
                <c:pt idx="0">
                  <c:v>2013</c:v>
                </c:pt>
                <c:pt idx="1">
                  <c:v>2015</c:v>
                </c:pt>
              </c:numCache>
            </c:numRef>
          </c:cat>
          <c:val>
            <c:numRef>
              <c:f>Sheet1!$B$31:$C$31</c:f>
              <c:numCache>
                <c:formatCode>General</c:formatCode>
                <c:ptCount val="2"/>
                <c:pt idx="0">
                  <c:v>31.97</c:v>
                </c:pt>
                <c:pt idx="1">
                  <c:v>29.78</c:v>
                </c:pt>
              </c:numCache>
            </c:numRef>
          </c:val>
          <c:smooth val="0"/>
        </c:ser>
        <c:dLbls>
          <c:showLegendKey val="0"/>
          <c:showVal val="0"/>
          <c:showCatName val="0"/>
          <c:showSerName val="0"/>
          <c:showPercent val="0"/>
          <c:showBubbleSize val="0"/>
        </c:dLbls>
        <c:marker val="1"/>
        <c:smooth val="0"/>
        <c:axId val="338314504"/>
        <c:axId val="399466728"/>
      </c:lineChart>
      <c:catAx>
        <c:axId val="338314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399466728"/>
        <c:crosses val="autoZero"/>
        <c:auto val="1"/>
        <c:lblAlgn val="ctr"/>
        <c:lblOffset val="100"/>
        <c:noMultiLvlLbl val="0"/>
      </c:catAx>
      <c:valAx>
        <c:axId val="399466728"/>
        <c:scaling>
          <c:orientation val="minMax"/>
          <c:max val="35"/>
          <c:min val="2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Percent</a:t>
                </a:r>
              </a:p>
            </c:rich>
          </c:tx>
          <c:layout>
            <c:manualLayout>
              <c:xMode val="edge"/>
              <c:yMode val="edge"/>
              <c:x val="0"/>
              <c:y val="0.2755278991660569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38314504"/>
        <c:crosses val="autoZero"/>
        <c:crossBetween val="between"/>
        <c:majorUnit val="1"/>
        <c:minorUnit val="1"/>
      </c:valAx>
      <c:spPr>
        <a:noFill/>
        <a:ln>
          <a:noFill/>
        </a:ln>
        <a:effectLst/>
      </c:spPr>
    </c:plotArea>
    <c:legend>
      <c:legendPos val="b"/>
      <c:layout/>
      <c:overlay val="0"/>
      <c:spPr>
        <a:noFill/>
        <a:ln>
          <a:solidFill>
            <a:sysClr val="windowText" lastClr="000000"/>
          </a:solid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lumMod val="50000"/>
          <a:lumOff val="50000"/>
        </a:sys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4816F-C92D-422D-A8F2-5C93746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6584</Words>
  <Characters>38586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Vermont Partnerships for Success II: Evaluation Findings Report</vt:lpstr>
    </vt:vector>
  </TitlesOfParts>
  <Company/>
  <LinksUpToDate>false</LinksUpToDate>
  <CharactersWithSpaces>45080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Partnerships for Success II: Evaluation Findings Report</dc:title>
  <dc:subject/>
  <dc:creator>Robert Flewelling</dc:creator>
  <cp:keywords/>
  <dc:description/>
  <cp:lastModifiedBy>Robert Flewelling</cp:lastModifiedBy>
  <cp:revision>2</cp:revision>
  <cp:lastPrinted>2016-12-29T19:20:00Z</cp:lastPrinted>
  <dcterms:created xsi:type="dcterms:W3CDTF">2017-01-31T16:24:00Z</dcterms:created>
  <dcterms:modified xsi:type="dcterms:W3CDTF">2017-01-31T16:24:00Z</dcterms:modified>
</cp:coreProperties>
</file>